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宋体" w:hAnsi="Calibri"/>
          <w:b/>
          <w:bCs/>
          <w:kern w:val="0"/>
          <w:sz w:val="48"/>
          <w:szCs w:val="48"/>
        </w:rPr>
      </w:pPr>
    </w:p>
    <w:p>
      <w:pPr>
        <w:jc w:val="center"/>
        <w:rPr>
          <w:rFonts w:ascii="宋体" w:hAnsi="宋体"/>
          <w:b/>
          <w:bCs/>
          <w:sz w:val="52"/>
          <w:szCs w:val="52"/>
        </w:rPr>
      </w:pPr>
    </w:p>
    <w:p>
      <w:pPr>
        <w:pStyle w:val="17"/>
        <w:spacing w:line="360" w:lineRule="auto"/>
        <w:jc w:val="center"/>
        <w:rPr>
          <w:rFonts w:hAnsi="宋体"/>
          <w:b/>
          <w:bCs/>
          <w:sz w:val="52"/>
          <w:szCs w:val="52"/>
        </w:rPr>
      </w:pPr>
      <w:r>
        <w:rPr>
          <w:rFonts w:hint="eastAsia" w:hAnsi="宋体"/>
          <w:b/>
          <w:bCs/>
          <w:sz w:val="52"/>
          <w:szCs w:val="52"/>
        </w:rPr>
        <w:t>楚雄医药高等专科学校半自动体外除颤仪（AED）、急救箱、医疗箱采购项目竞争性谈判文件</w:t>
      </w:r>
    </w:p>
    <w:p>
      <w:pPr>
        <w:pStyle w:val="17"/>
        <w:spacing w:line="360" w:lineRule="auto"/>
        <w:jc w:val="center"/>
        <w:rPr>
          <w:sz w:val="32"/>
          <w:szCs w:val="32"/>
        </w:rPr>
      </w:pPr>
    </w:p>
    <w:p>
      <w:pPr>
        <w:pStyle w:val="17"/>
        <w:spacing w:line="360" w:lineRule="auto"/>
        <w:jc w:val="center"/>
        <w:rPr>
          <w:sz w:val="32"/>
          <w:szCs w:val="32"/>
        </w:rPr>
      </w:pPr>
    </w:p>
    <w:p>
      <w:pPr>
        <w:pStyle w:val="17"/>
        <w:spacing w:line="360" w:lineRule="auto"/>
        <w:jc w:val="center"/>
        <w:rPr>
          <w:sz w:val="32"/>
          <w:szCs w:val="32"/>
        </w:rPr>
      </w:pPr>
    </w:p>
    <w:p>
      <w:pPr>
        <w:pStyle w:val="17"/>
        <w:spacing w:line="360" w:lineRule="auto"/>
        <w:jc w:val="center"/>
        <w:rPr>
          <w:rFonts w:hAnsi="宋体"/>
          <w:b/>
          <w:bCs/>
          <w:sz w:val="52"/>
          <w:szCs w:val="52"/>
        </w:rPr>
      </w:pPr>
      <w:r>
        <w:rPr>
          <w:rFonts w:hint="eastAsia"/>
          <w:sz w:val="32"/>
          <w:szCs w:val="32"/>
        </w:rPr>
        <w:t>项目编号：</w:t>
      </w:r>
      <w:r>
        <w:rPr>
          <w:rFonts w:hint="eastAsia"/>
          <w:b/>
          <w:sz w:val="32"/>
          <w:szCs w:val="32"/>
          <w:lang w:eastAsia="zh-CN"/>
        </w:rPr>
        <w:t>CZYZC(2021)15</w:t>
      </w:r>
      <w:r>
        <w:rPr>
          <w:rFonts w:hint="eastAsia"/>
          <w:b/>
          <w:sz w:val="32"/>
          <w:szCs w:val="32"/>
        </w:rPr>
        <w:t>号</w:t>
      </w:r>
    </w:p>
    <w:p>
      <w:pPr>
        <w:pStyle w:val="17"/>
        <w:spacing w:line="360" w:lineRule="auto"/>
        <w:jc w:val="center"/>
        <w:rPr>
          <w:sz w:val="32"/>
          <w:szCs w:val="32"/>
        </w:rPr>
      </w:pPr>
    </w:p>
    <w:p>
      <w:pPr>
        <w:pStyle w:val="17"/>
        <w:spacing w:line="360" w:lineRule="auto"/>
      </w:pPr>
    </w:p>
    <w:p>
      <w:pPr>
        <w:pStyle w:val="17"/>
        <w:spacing w:line="360" w:lineRule="auto"/>
      </w:pPr>
    </w:p>
    <w:p>
      <w:pPr>
        <w:pStyle w:val="17"/>
        <w:spacing w:line="360" w:lineRule="auto"/>
      </w:pPr>
    </w:p>
    <w:p>
      <w:pPr>
        <w:pStyle w:val="17"/>
        <w:spacing w:line="360" w:lineRule="auto"/>
      </w:pPr>
    </w:p>
    <w:p>
      <w:pPr>
        <w:pStyle w:val="17"/>
        <w:spacing w:line="360" w:lineRule="auto"/>
      </w:pPr>
    </w:p>
    <w:p>
      <w:pPr>
        <w:pStyle w:val="17"/>
        <w:spacing w:line="360" w:lineRule="auto"/>
      </w:pPr>
    </w:p>
    <w:p>
      <w:pPr>
        <w:pStyle w:val="17"/>
        <w:spacing w:line="360" w:lineRule="auto"/>
      </w:pPr>
    </w:p>
    <w:p>
      <w:pPr>
        <w:pStyle w:val="17"/>
        <w:spacing w:line="360" w:lineRule="auto"/>
      </w:pPr>
    </w:p>
    <w:p>
      <w:pPr>
        <w:pStyle w:val="17"/>
        <w:spacing w:line="360" w:lineRule="auto"/>
        <w:rPr>
          <w:b/>
          <w:bCs/>
          <w:sz w:val="32"/>
        </w:rPr>
      </w:pPr>
    </w:p>
    <w:p>
      <w:pPr>
        <w:pStyle w:val="17"/>
        <w:spacing w:line="360" w:lineRule="auto"/>
        <w:ind w:firstLine="2249" w:firstLineChars="700"/>
        <w:rPr>
          <w:b/>
          <w:bCs/>
          <w:sz w:val="32"/>
          <w:szCs w:val="32"/>
        </w:rPr>
      </w:pPr>
      <w:r>
        <w:rPr>
          <w:rFonts w:hint="eastAsia"/>
          <w:b/>
          <w:bCs/>
          <w:sz w:val="32"/>
          <w:szCs w:val="32"/>
        </w:rPr>
        <w:t>采购人：楚雄医药高等专科学校</w:t>
      </w:r>
    </w:p>
    <w:p>
      <w:pPr>
        <w:pStyle w:val="17"/>
        <w:spacing w:line="360" w:lineRule="auto"/>
        <w:jc w:val="center"/>
        <w:rPr>
          <w:b/>
          <w:bCs/>
          <w:sz w:val="32"/>
          <w:szCs w:val="32"/>
        </w:rPr>
      </w:pPr>
    </w:p>
    <w:p>
      <w:pPr>
        <w:pStyle w:val="17"/>
        <w:spacing w:line="360" w:lineRule="auto"/>
        <w:jc w:val="center"/>
        <w:rPr>
          <w:b/>
          <w:bCs/>
          <w:sz w:val="32"/>
          <w:szCs w:val="32"/>
        </w:rPr>
      </w:pPr>
      <w:r>
        <w:rPr>
          <w:rFonts w:hint="eastAsia"/>
          <w:b/>
          <w:bCs/>
          <w:sz w:val="32"/>
          <w:szCs w:val="32"/>
        </w:rPr>
        <w:t>2021年10月</w:t>
      </w:r>
    </w:p>
    <w:p>
      <w:pPr>
        <w:pStyle w:val="184"/>
        <w:jc w:val="center"/>
        <w:rPr>
          <w:b/>
          <w:color w:val="auto"/>
          <w:lang w:val="zh-CN"/>
        </w:rPr>
      </w:pPr>
    </w:p>
    <w:p>
      <w:pPr>
        <w:pStyle w:val="184"/>
        <w:jc w:val="center"/>
        <w:rPr>
          <w:b/>
          <w:color w:val="auto"/>
        </w:rPr>
      </w:pPr>
      <w:r>
        <w:rPr>
          <w:b/>
          <w:color w:val="auto"/>
          <w:lang w:val="zh-CN"/>
        </w:rPr>
        <w:t>目录</w:t>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TOC \o "1-3" \h \u </w:instrText>
      </w:r>
      <w:r>
        <w:fldChar w:fldCharType="separate"/>
      </w:r>
      <w:r>
        <w:fldChar w:fldCharType="begin"/>
      </w:r>
      <w:r>
        <w:instrText xml:space="preserve"> HYPERLINK \l "_Toc84455568" </w:instrText>
      </w:r>
      <w:r>
        <w:fldChar w:fldCharType="separate"/>
      </w:r>
      <w:r>
        <w:rPr>
          <w:rStyle w:val="43"/>
          <w:rFonts w:hint="eastAsia" w:ascii="黑体"/>
        </w:rPr>
        <w:t>第一章</w:t>
      </w:r>
      <w:r>
        <w:rPr>
          <w:rStyle w:val="43"/>
          <w:rFonts w:ascii="黑体"/>
        </w:rPr>
        <w:t xml:space="preserve">   </w:t>
      </w:r>
      <w:r>
        <w:rPr>
          <w:rStyle w:val="43"/>
          <w:rFonts w:hint="eastAsia" w:ascii="黑体" w:hAnsi="黑体"/>
        </w:rPr>
        <w:t>竞争性谈判公告</w:t>
      </w:r>
      <w:r>
        <w:tab/>
      </w:r>
      <w:r>
        <w:fldChar w:fldCharType="begin"/>
      </w:r>
      <w:r>
        <w:instrText xml:space="preserve"> PAGEREF _Toc84455568 \h </w:instrText>
      </w:r>
      <w:r>
        <w:fldChar w:fldCharType="separate"/>
      </w:r>
      <w:r>
        <w:t>3</w:t>
      </w:r>
      <w:r>
        <w:fldChar w:fldCharType="end"/>
      </w:r>
      <w:r>
        <w:fldChar w:fldCharType="end"/>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 HYPERLINK \l "_Toc84455569" </w:instrText>
      </w:r>
      <w:r>
        <w:fldChar w:fldCharType="separate"/>
      </w:r>
      <w:r>
        <w:rPr>
          <w:rStyle w:val="43"/>
          <w:rFonts w:hint="eastAsia" w:ascii="黑体"/>
        </w:rPr>
        <w:t>第二章</w:t>
      </w:r>
      <w:r>
        <w:rPr>
          <w:rStyle w:val="43"/>
          <w:rFonts w:ascii="黑体"/>
        </w:rPr>
        <w:t xml:space="preserve">   </w:t>
      </w:r>
      <w:r>
        <w:rPr>
          <w:rStyle w:val="43"/>
          <w:rFonts w:hint="eastAsia" w:ascii="黑体"/>
        </w:rPr>
        <w:t>供应商须知</w:t>
      </w:r>
      <w:r>
        <w:tab/>
      </w:r>
      <w:r>
        <w:fldChar w:fldCharType="begin"/>
      </w:r>
      <w:r>
        <w:instrText xml:space="preserve"> PAGEREF _Toc84455569 \h </w:instrText>
      </w:r>
      <w:r>
        <w:fldChar w:fldCharType="separate"/>
      </w:r>
      <w:r>
        <w:t>6</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"_Toc84455570" </w:instrText>
      </w:r>
      <w:r>
        <w:fldChar w:fldCharType="separate"/>
      </w:r>
      <w:r>
        <w:rPr>
          <w:rStyle w:val="43"/>
          <w:rFonts w:hint="eastAsia" w:ascii="宋体" w:hAnsi="宋体"/>
        </w:rPr>
        <w:t>一、总则</w:t>
      </w:r>
      <w:r>
        <w:tab/>
      </w:r>
      <w:r>
        <w:fldChar w:fldCharType="begin"/>
      </w:r>
      <w:r>
        <w:instrText xml:space="preserve"> PAGEREF _Toc84455570 \h </w:instrText>
      </w:r>
      <w:r>
        <w:fldChar w:fldCharType="separate"/>
      </w:r>
      <w:r>
        <w:t>9</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"_Toc84455571" </w:instrText>
      </w:r>
      <w:r>
        <w:fldChar w:fldCharType="separate"/>
      </w:r>
      <w:r>
        <w:rPr>
          <w:rStyle w:val="43"/>
          <w:rFonts w:hint="eastAsia" w:ascii="宋体" w:hAnsi="宋体"/>
        </w:rPr>
        <w:t>二、谈判文件</w:t>
      </w:r>
      <w:r>
        <w:tab/>
      </w:r>
      <w:r>
        <w:fldChar w:fldCharType="begin"/>
      </w:r>
      <w:r>
        <w:instrText xml:space="preserve"> PAGEREF _Toc84455571 \h </w:instrText>
      </w:r>
      <w:r>
        <w:fldChar w:fldCharType="separate"/>
      </w:r>
      <w:r>
        <w:t>11</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"_Toc84455572" </w:instrText>
      </w:r>
      <w:r>
        <w:fldChar w:fldCharType="separate"/>
      </w:r>
      <w:r>
        <w:rPr>
          <w:rStyle w:val="43"/>
          <w:rFonts w:hint="eastAsia" w:ascii="宋体" w:hAnsi="宋体"/>
        </w:rPr>
        <w:t>三、响应文件的编制</w:t>
      </w:r>
      <w:r>
        <w:tab/>
      </w:r>
      <w:r>
        <w:fldChar w:fldCharType="begin"/>
      </w:r>
      <w:r>
        <w:instrText xml:space="preserve"> PAGEREF _Toc84455572 \h </w:instrText>
      </w:r>
      <w:r>
        <w:fldChar w:fldCharType="separate"/>
      </w:r>
      <w:r>
        <w:t>12</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"_Toc84455573" </w:instrText>
      </w:r>
      <w:r>
        <w:fldChar w:fldCharType="separate"/>
      </w:r>
      <w:r>
        <w:rPr>
          <w:rStyle w:val="43"/>
          <w:rFonts w:hint="eastAsia" w:ascii="宋体" w:hAnsi="宋体"/>
        </w:rPr>
        <w:t>四、响应文件的提交</w:t>
      </w:r>
      <w:r>
        <w:tab/>
      </w:r>
      <w:r>
        <w:fldChar w:fldCharType="begin"/>
      </w:r>
      <w:r>
        <w:instrText xml:space="preserve"> PAGEREF _Toc84455573 \h </w:instrText>
      </w:r>
      <w:r>
        <w:fldChar w:fldCharType="separate"/>
      </w:r>
      <w:r>
        <w:t>14</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"_Toc84455574" </w:instrText>
      </w:r>
      <w:r>
        <w:fldChar w:fldCharType="separate"/>
      </w:r>
      <w:r>
        <w:rPr>
          <w:rStyle w:val="43"/>
          <w:rFonts w:hint="eastAsia" w:ascii="宋体" w:hAnsi="宋体"/>
        </w:rPr>
        <w:t>五、响应文件开启</w:t>
      </w:r>
      <w:r>
        <w:tab/>
      </w:r>
      <w:r>
        <w:fldChar w:fldCharType="begin"/>
      </w:r>
      <w:r>
        <w:instrText xml:space="preserve"> PAGEREF _Toc84455574 \h </w:instrText>
      </w:r>
      <w:r>
        <w:fldChar w:fldCharType="separate"/>
      </w:r>
      <w:r>
        <w:t>14</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"_Toc84455575" </w:instrText>
      </w:r>
      <w:r>
        <w:fldChar w:fldCharType="separate"/>
      </w:r>
      <w:r>
        <w:rPr>
          <w:rStyle w:val="43"/>
          <w:rFonts w:hint="eastAsia" w:ascii="宋体" w:hAnsi="宋体"/>
        </w:rPr>
        <w:t>七、成交结果</w:t>
      </w:r>
      <w:r>
        <w:tab/>
      </w:r>
      <w:r>
        <w:fldChar w:fldCharType="begin"/>
      </w:r>
      <w:r>
        <w:instrText xml:space="preserve"> PAGEREF _Toc84455575 \h </w:instrText>
      </w:r>
      <w:r>
        <w:fldChar w:fldCharType="separate"/>
      </w:r>
      <w:r>
        <w:t>18</w:t>
      </w:r>
      <w:r>
        <w:fldChar w:fldCharType="end"/>
      </w:r>
      <w:r>
        <w:fldChar w:fldCharType="end"/>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 HYPERLINK \l "_Toc84455576" </w:instrText>
      </w:r>
      <w:r>
        <w:fldChar w:fldCharType="separate"/>
      </w:r>
      <w:r>
        <w:rPr>
          <w:rStyle w:val="43"/>
          <w:rFonts w:hint="eastAsia" w:ascii="黑体"/>
        </w:rPr>
        <w:t>第三章</w:t>
      </w:r>
      <w:r>
        <w:rPr>
          <w:rStyle w:val="43"/>
          <w:rFonts w:ascii="黑体"/>
        </w:rPr>
        <w:t xml:space="preserve">  </w:t>
      </w:r>
      <w:r>
        <w:rPr>
          <w:rStyle w:val="43"/>
          <w:rFonts w:hint="eastAsia" w:ascii="黑体"/>
        </w:rPr>
        <w:t>合同书样式</w:t>
      </w:r>
      <w:r>
        <w:tab/>
      </w:r>
      <w:r>
        <w:fldChar w:fldCharType="begin"/>
      </w:r>
      <w:r>
        <w:instrText xml:space="preserve"> PAGEREF _Toc84455576 \h </w:instrText>
      </w:r>
      <w:r>
        <w:fldChar w:fldCharType="separate"/>
      </w:r>
      <w:r>
        <w:t>20</w:t>
      </w:r>
      <w:r>
        <w:fldChar w:fldCharType="end"/>
      </w:r>
      <w:r>
        <w:fldChar w:fldCharType="end"/>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 HYPERLINK \l "_Toc84455577" </w:instrText>
      </w:r>
      <w:r>
        <w:fldChar w:fldCharType="separate"/>
      </w:r>
      <w:r>
        <w:rPr>
          <w:rStyle w:val="43"/>
          <w:rFonts w:hint="eastAsia" w:ascii="黑体"/>
        </w:rPr>
        <w:t>第四章</w:t>
      </w:r>
      <w:r>
        <w:rPr>
          <w:rStyle w:val="43"/>
          <w:rFonts w:ascii="黑体"/>
        </w:rPr>
        <w:t xml:space="preserve">  </w:t>
      </w:r>
      <w:r>
        <w:rPr>
          <w:rStyle w:val="43"/>
          <w:rFonts w:hint="eastAsia" w:ascii="黑体"/>
        </w:rPr>
        <w:t>响应文件格式</w:t>
      </w:r>
      <w:r>
        <w:tab/>
      </w:r>
      <w:r>
        <w:fldChar w:fldCharType="begin"/>
      </w:r>
      <w:r>
        <w:instrText xml:space="preserve"> PAGEREF _Toc84455577 \h </w:instrText>
      </w:r>
      <w:r>
        <w:fldChar w:fldCharType="separate"/>
      </w:r>
      <w:r>
        <w:t>24</w:t>
      </w:r>
      <w:r>
        <w:fldChar w:fldCharType="end"/>
      </w:r>
      <w:r>
        <w:fldChar w:fldCharType="end"/>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 HYPERLINK \l "_Toc84455578" </w:instrText>
      </w:r>
      <w:r>
        <w:fldChar w:fldCharType="separate"/>
      </w:r>
      <w:r>
        <w:rPr>
          <w:rStyle w:val="43"/>
          <w:rFonts w:hint="eastAsia" w:ascii="黑体"/>
        </w:rPr>
        <w:t>（项目名称）</w:t>
      </w:r>
      <w:r>
        <w:tab/>
      </w:r>
      <w:r>
        <w:fldChar w:fldCharType="begin"/>
      </w:r>
      <w:r>
        <w:instrText xml:space="preserve"> PAGEREF _Toc84455578 \h </w:instrText>
      </w:r>
      <w:r>
        <w:fldChar w:fldCharType="separate"/>
      </w:r>
      <w:r>
        <w:t>24</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"_Toc84455579" </w:instrText>
      </w:r>
      <w:r>
        <w:fldChar w:fldCharType="separate"/>
      </w:r>
      <w:r>
        <w:rPr>
          <w:rStyle w:val="43"/>
          <w:rFonts w:hint="eastAsia" w:ascii="宋体" w:hAnsi="宋体"/>
        </w:rPr>
        <w:t>商务文件</w:t>
      </w:r>
      <w:r>
        <w:tab/>
      </w:r>
      <w:r>
        <w:fldChar w:fldCharType="begin"/>
      </w:r>
      <w:r>
        <w:instrText xml:space="preserve"> PAGEREF _Toc84455579 \h </w:instrText>
      </w:r>
      <w:r>
        <w:fldChar w:fldCharType="separate"/>
      </w:r>
      <w:r>
        <w:t>25</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"_Toc84455580" </w:instrText>
      </w:r>
      <w:r>
        <w:fldChar w:fldCharType="separate"/>
      </w:r>
      <w:r>
        <w:rPr>
          <w:rStyle w:val="43"/>
          <w:rFonts w:hint="eastAsia" w:ascii="宋体" w:hAnsi="宋体"/>
        </w:rPr>
        <w:t>格式</w:t>
      </w:r>
      <w:r>
        <w:rPr>
          <w:rStyle w:val="43"/>
          <w:rFonts w:ascii="宋体" w:hAnsi="宋体"/>
        </w:rPr>
        <w:t>1</w:t>
      </w:r>
      <w:r>
        <w:rPr>
          <w:rStyle w:val="43"/>
          <w:rFonts w:hint="eastAsia" w:ascii="宋体" w:hAnsi="宋体"/>
        </w:rPr>
        <w:t>：谈判响应函</w:t>
      </w:r>
      <w:r>
        <w:tab/>
      </w:r>
      <w:r>
        <w:fldChar w:fldCharType="begin"/>
      </w:r>
      <w:r>
        <w:instrText xml:space="preserve"> PAGEREF _Toc84455580 \h </w:instrText>
      </w:r>
      <w:r>
        <w:fldChar w:fldCharType="separate"/>
      </w:r>
      <w:r>
        <w:t>26</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"_Toc84455581" </w:instrText>
      </w:r>
      <w:r>
        <w:fldChar w:fldCharType="separate"/>
      </w:r>
      <w:r>
        <w:rPr>
          <w:rStyle w:val="43"/>
          <w:rFonts w:hint="eastAsia" w:ascii="宋体" w:hAnsi="宋体"/>
        </w:rPr>
        <w:t>格式</w:t>
      </w:r>
      <w:r>
        <w:rPr>
          <w:rStyle w:val="43"/>
          <w:rFonts w:ascii="宋体" w:hAnsi="宋体"/>
        </w:rPr>
        <w:t>2</w:t>
      </w:r>
      <w:r>
        <w:rPr>
          <w:rStyle w:val="43"/>
          <w:rFonts w:hint="eastAsia" w:ascii="宋体" w:hAnsi="宋体"/>
        </w:rPr>
        <w:t>：竞争性谈判报价一览表</w:t>
      </w:r>
      <w:r>
        <w:tab/>
      </w:r>
      <w:r>
        <w:fldChar w:fldCharType="begin"/>
      </w:r>
      <w:r>
        <w:instrText xml:space="preserve"> PAGEREF _Toc84455581 \h </w:instrText>
      </w:r>
      <w:r>
        <w:fldChar w:fldCharType="separate"/>
      </w:r>
      <w:r>
        <w:t>27</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"_Toc84455582" </w:instrText>
      </w:r>
      <w:r>
        <w:fldChar w:fldCharType="separate"/>
      </w:r>
      <w:r>
        <w:rPr>
          <w:rStyle w:val="43"/>
          <w:rFonts w:hint="eastAsia" w:ascii="宋体" w:hAnsi="宋体"/>
        </w:rPr>
        <w:t>格式</w:t>
      </w:r>
      <w:r>
        <w:rPr>
          <w:rStyle w:val="43"/>
          <w:rFonts w:ascii="宋体" w:hAnsi="宋体"/>
        </w:rPr>
        <w:t>3</w:t>
      </w:r>
      <w:r>
        <w:rPr>
          <w:rStyle w:val="43"/>
          <w:rFonts w:hint="eastAsia" w:ascii="宋体" w:hAnsi="宋体"/>
        </w:rPr>
        <w:t>：分项报价表</w:t>
      </w:r>
      <w:r>
        <w:tab/>
      </w:r>
      <w:r>
        <w:fldChar w:fldCharType="begin"/>
      </w:r>
      <w:r>
        <w:instrText xml:space="preserve"> PAGEREF _Toc84455582 \h </w:instrText>
      </w:r>
      <w:r>
        <w:fldChar w:fldCharType="separate"/>
      </w:r>
      <w:r>
        <w:t>28</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"_Toc84455583" </w:instrText>
      </w:r>
      <w:r>
        <w:fldChar w:fldCharType="separate"/>
      </w:r>
      <w:r>
        <w:rPr>
          <w:rStyle w:val="43"/>
          <w:rFonts w:hint="eastAsia" w:ascii="宋体" w:hAnsi="宋体"/>
        </w:rPr>
        <w:t>格式</w:t>
      </w:r>
      <w:r>
        <w:rPr>
          <w:rStyle w:val="43"/>
          <w:rFonts w:ascii="宋体" w:hAnsi="宋体"/>
        </w:rPr>
        <w:t>4</w:t>
      </w:r>
      <w:r>
        <w:rPr>
          <w:rStyle w:val="43"/>
          <w:rFonts w:hint="eastAsia" w:ascii="宋体" w:hAnsi="宋体"/>
        </w:rPr>
        <w:t>：商务条款响应</w:t>
      </w:r>
      <w:r>
        <w:rPr>
          <w:rStyle w:val="43"/>
          <w:rFonts w:ascii="宋体" w:hAnsi="宋体"/>
        </w:rPr>
        <w:t>/</w:t>
      </w:r>
      <w:r>
        <w:rPr>
          <w:rStyle w:val="43"/>
          <w:rFonts w:hint="eastAsia" w:ascii="宋体" w:hAnsi="宋体"/>
        </w:rPr>
        <w:t>偏离表</w:t>
      </w:r>
      <w:r>
        <w:tab/>
      </w:r>
      <w:r>
        <w:fldChar w:fldCharType="begin"/>
      </w:r>
      <w:r>
        <w:instrText xml:space="preserve"> PAGEREF _Toc84455583 \h </w:instrText>
      </w:r>
      <w:r>
        <w:fldChar w:fldCharType="separate"/>
      </w:r>
      <w:r>
        <w:t>29</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"_Toc84455584" </w:instrText>
      </w:r>
      <w:r>
        <w:fldChar w:fldCharType="separate"/>
      </w:r>
      <w:r>
        <w:rPr>
          <w:rStyle w:val="43"/>
          <w:rFonts w:hint="eastAsia" w:ascii="宋体" w:hAnsi="宋体"/>
        </w:rPr>
        <w:t>格式</w:t>
      </w:r>
      <w:r>
        <w:rPr>
          <w:rStyle w:val="43"/>
          <w:rFonts w:ascii="宋体" w:hAnsi="宋体"/>
        </w:rPr>
        <w:t>5</w:t>
      </w:r>
      <w:r>
        <w:rPr>
          <w:rStyle w:val="43"/>
          <w:rFonts w:hint="eastAsia" w:ascii="宋体" w:hAnsi="宋体"/>
        </w:rPr>
        <w:t>：投标人资格证明文件</w:t>
      </w:r>
      <w:r>
        <w:tab/>
      </w:r>
      <w:r>
        <w:fldChar w:fldCharType="begin"/>
      </w:r>
      <w:r>
        <w:instrText xml:space="preserve"> PAGEREF _Toc84455584 \h </w:instrText>
      </w:r>
      <w:r>
        <w:fldChar w:fldCharType="separate"/>
      </w:r>
      <w:r>
        <w:t>30</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"_Toc84455585" </w:instrText>
      </w:r>
      <w:r>
        <w:fldChar w:fldCharType="separate"/>
      </w:r>
      <w:r>
        <w:rPr>
          <w:rStyle w:val="43"/>
          <w:rFonts w:hint="eastAsia" w:asciiTheme="minorEastAsia" w:hAnsiTheme="minorEastAsia"/>
        </w:rPr>
        <w:t>格式</w:t>
      </w:r>
      <w:r>
        <w:rPr>
          <w:rStyle w:val="43"/>
          <w:rFonts w:asciiTheme="minorEastAsia" w:hAnsiTheme="minorEastAsia"/>
        </w:rPr>
        <w:t>5-1</w:t>
      </w:r>
      <w:r>
        <w:rPr>
          <w:rStyle w:val="43"/>
          <w:rFonts w:hint="eastAsia" w:asciiTheme="minorEastAsia" w:hAnsiTheme="minorEastAsia"/>
        </w:rPr>
        <w:t>：营业执照及其他资质证书</w:t>
      </w:r>
      <w:r>
        <w:tab/>
      </w:r>
      <w:r>
        <w:fldChar w:fldCharType="begin"/>
      </w:r>
      <w:r>
        <w:instrText xml:space="preserve"> PAGEREF _Toc84455585 \h </w:instrText>
      </w:r>
      <w:r>
        <w:fldChar w:fldCharType="separate"/>
      </w:r>
      <w:r>
        <w:t>30</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"_Toc84455586" </w:instrText>
      </w:r>
      <w:r>
        <w:fldChar w:fldCharType="separate"/>
      </w:r>
      <w:r>
        <w:rPr>
          <w:rStyle w:val="43"/>
          <w:rFonts w:hint="eastAsia" w:asciiTheme="minorEastAsia" w:hAnsiTheme="minorEastAsia"/>
        </w:rPr>
        <w:t>格式</w:t>
      </w:r>
      <w:r>
        <w:rPr>
          <w:rStyle w:val="43"/>
          <w:rFonts w:asciiTheme="minorEastAsia" w:hAnsiTheme="minorEastAsia"/>
        </w:rPr>
        <w:t>5-2</w:t>
      </w:r>
      <w:r>
        <w:rPr>
          <w:rStyle w:val="43"/>
          <w:rFonts w:hint="eastAsia" w:asciiTheme="minorEastAsia" w:hAnsiTheme="minorEastAsia"/>
        </w:rPr>
        <w:t>：法定代表人资格证明书</w:t>
      </w:r>
      <w:r>
        <w:tab/>
      </w:r>
      <w:r>
        <w:fldChar w:fldCharType="begin"/>
      </w:r>
      <w:r>
        <w:instrText xml:space="preserve"> PAGEREF _Toc84455586 \h </w:instrText>
      </w:r>
      <w:r>
        <w:fldChar w:fldCharType="separate"/>
      </w:r>
      <w:r>
        <w:t>31</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"_Toc84455587" </w:instrText>
      </w:r>
      <w:r>
        <w:fldChar w:fldCharType="separate"/>
      </w:r>
      <w:r>
        <w:rPr>
          <w:rStyle w:val="43"/>
          <w:rFonts w:hint="eastAsia" w:asciiTheme="minorEastAsia" w:hAnsiTheme="minorEastAsia"/>
        </w:rPr>
        <w:t>格式</w:t>
      </w:r>
      <w:r>
        <w:rPr>
          <w:rStyle w:val="43"/>
          <w:rFonts w:asciiTheme="minorEastAsia" w:hAnsiTheme="minorEastAsia"/>
        </w:rPr>
        <w:t>5-3</w:t>
      </w:r>
      <w:r>
        <w:rPr>
          <w:rStyle w:val="43"/>
          <w:rFonts w:hint="eastAsia" w:asciiTheme="minorEastAsia" w:hAnsiTheme="minorEastAsia"/>
        </w:rPr>
        <w:t>：法定代表人授权委托书</w:t>
      </w:r>
      <w:r>
        <w:tab/>
      </w:r>
      <w:r>
        <w:fldChar w:fldCharType="begin"/>
      </w:r>
      <w:r>
        <w:instrText xml:space="preserve"> PAGEREF _Toc84455587 \h </w:instrText>
      </w:r>
      <w:r>
        <w:fldChar w:fldCharType="separate"/>
      </w:r>
      <w:r>
        <w:t>32</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"_Toc84455588" </w:instrText>
      </w:r>
      <w:r>
        <w:fldChar w:fldCharType="separate"/>
      </w:r>
      <w:r>
        <w:rPr>
          <w:rStyle w:val="43"/>
          <w:rFonts w:hint="eastAsia" w:asciiTheme="minorEastAsia" w:hAnsiTheme="minorEastAsia"/>
        </w:rPr>
        <w:t>格式</w:t>
      </w:r>
      <w:r>
        <w:rPr>
          <w:rStyle w:val="43"/>
          <w:rFonts w:asciiTheme="minorEastAsia" w:hAnsiTheme="minorEastAsia"/>
        </w:rPr>
        <w:t>5-4</w:t>
      </w:r>
      <w:r>
        <w:rPr>
          <w:rStyle w:val="43"/>
          <w:rFonts w:hint="eastAsia" w:asciiTheme="minorEastAsia" w:hAnsiTheme="minorEastAsia"/>
        </w:rPr>
        <w:t>：供应商基本情况表</w:t>
      </w:r>
      <w:r>
        <w:tab/>
      </w:r>
      <w:r>
        <w:fldChar w:fldCharType="begin"/>
      </w:r>
      <w:r>
        <w:instrText xml:space="preserve"> PAGEREF _Toc84455588 \h </w:instrText>
      </w:r>
      <w:r>
        <w:fldChar w:fldCharType="separate"/>
      </w:r>
      <w:r>
        <w:t>33</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"_Toc84455589" </w:instrText>
      </w:r>
      <w:r>
        <w:fldChar w:fldCharType="separate"/>
      </w:r>
      <w:r>
        <w:rPr>
          <w:rStyle w:val="43"/>
          <w:rFonts w:hint="eastAsia" w:asciiTheme="minorEastAsia" w:hAnsiTheme="minorEastAsia"/>
        </w:rPr>
        <w:t>格式</w:t>
      </w:r>
      <w:r>
        <w:rPr>
          <w:rStyle w:val="43"/>
          <w:rFonts w:asciiTheme="minorEastAsia" w:hAnsiTheme="minorEastAsia"/>
        </w:rPr>
        <w:t>5-5</w:t>
      </w:r>
      <w:r>
        <w:rPr>
          <w:rStyle w:val="43"/>
          <w:rFonts w:hint="eastAsia" w:asciiTheme="minorEastAsia" w:hAnsiTheme="minorEastAsia"/>
        </w:rPr>
        <w:t>：供应商缴纳税收证明材料</w:t>
      </w:r>
      <w:r>
        <w:tab/>
      </w:r>
      <w:r>
        <w:fldChar w:fldCharType="begin"/>
      </w:r>
      <w:r>
        <w:instrText xml:space="preserve"> PAGEREF _Toc84455589 \h </w:instrText>
      </w:r>
      <w:r>
        <w:fldChar w:fldCharType="separate"/>
      </w:r>
      <w:r>
        <w:t>34</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"_Toc84455590" </w:instrText>
      </w:r>
      <w:r>
        <w:fldChar w:fldCharType="separate"/>
      </w:r>
      <w:r>
        <w:rPr>
          <w:rStyle w:val="43"/>
          <w:rFonts w:hint="eastAsia" w:asciiTheme="minorEastAsia" w:hAnsiTheme="minorEastAsia"/>
        </w:rPr>
        <w:t>格式</w:t>
      </w:r>
      <w:r>
        <w:rPr>
          <w:rStyle w:val="43"/>
          <w:rFonts w:asciiTheme="minorEastAsia" w:hAnsiTheme="minorEastAsia"/>
        </w:rPr>
        <w:t>5-6</w:t>
      </w:r>
      <w:r>
        <w:rPr>
          <w:rStyle w:val="43"/>
          <w:rFonts w:hint="eastAsia" w:asciiTheme="minorEastAsia" w:hAnsiTheme="minorEastAsia"/>
        </w:rPr>
        <w:t>：供应商缴纳社保证明材料</w:t>
      </w:r>
      <w:r>
        <w:tab/>
      </w:r>
      <w:r>
        <w:fldChar w:fldCharType="begin"/>
      </w:r>
      <w:r>
        <w:instrText xml:space="preserve"> PAGEREF _Toc84455590 \h </w:instrText>
      </w:r>
      <w:r>
        <w:fldChar w:fldCharType="separate"/>
      </w:r>
      <w:r>
        <w:t>34</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"_Toc84455591" </w:instrText>
      </w:r>
      <w:r>
        <w:fldChar w:fldCharType="separate"/>
      </w:r>
      <w:r>
        <w:rPr>
          <w:rStyle w:val="43"/>
          <w:rFonts w:hint="eastAsia" w:asciiTheme="minorEastAsia" w:hAnsiTheme="minorEastAsia"/>
        </w:rPr>
        <w:t>格式</w:t>
      </w:r>
      <w:r>
        <w:rPr>
          <w:rStyle w:val="43"/>
          <w:rFonts w:asciiTheme="minorEastAsia" w:hAnsiTheme="minorEastAsia"/>
        </w:rPr>
        <w:t>5-7</w:t>
      </w:r>
      <w:r>
        <w:rPr>
          <w:rStyle w:val="43"/>
          <w:rFonts w:hint="eastAsia" w:asciiTheme="minorEastAsia" w:hAnsiTheme="minorEastAsia"/>
        </w:rPr>
        <w:t>：供应商近期财务状况报告</w:t>
      </w:r>
      <w:r>
        <w:tab/>
      </w:r>
      <w:r>
        <w:fldChar w:fldCharType="begin"/>
      </w:r>
      <w:r>
        <w:instrText xml:space="preserve"> PAGEREF _Toc84455591 \h </w:instrText>
      </w:r>
      <w:r>
        <w:fldChar w:fldCharType="separate"/>
      </w:r>
      <w:r>
        <w:t>34</w:t>
      </w:r>
      <w:r>
        <w:fldChar w:fldCharType="end"/>
      </w:r>
      <w:r>
        <w:fldChar w:fldCharType="end"/>
      </w:r>
    </w:p>
    <w:p>
      <w:pPr>
        <w:pStyle w:val="16"/>
        <w:tabs>
          <w:tab w:val="right" w:leader="dot" w:pos="9345"/>
        </w:tabs>
        <w:ind w:left="630"/>
        <w:rPr>
          <w:rFonts w:asciiTheme="minorHAnsi" w:hAnsiTheme="minorHAnsi" w:eastAsiaTheme="minorEastAsia" w:cstheme="minorBidi"/>
          <w:iCs w:val="0"/>
          <w:szCs w:val="22"/>
        </w:rPr>
      </w:pPr>
      <w:r>
        <w:fldChar w:fldCharType="begin"/>
      </w:r>
      <w:r>
        <w:instrText xml:space="preserve"> HYPERLINK \l "_Toc84455592" </w:instrText>
      </w:r>
      <w:r>
        <w:fldChar w:fldCharType="separate"/>
      </w:r>
      <w:r>
        <w:rPr>
          <w:rStyle w:val="43"/>
          <w:rFonts w:hint="eastAsia" w:ascii="宋体" w:hAnsi="宋体"/>
        </w:rPr>
        <w:t>格式</w:t>
      </w:r>
      <w:r>
        <w:rPr>
          <w:rStyle w:val="43"/>
          <w:rFonts w:ascii="宋体" w:hAnsi="宋体"/>
        </w:rPr>
        <w:t>5-8</w:t>
      </w:r>
      <w:r>
        <w:rPr>
          <w:rStyle w:val="43"/>
          <w:rFonts w:hint="eastAsia" w:ascii="宋体" w:hAnsi="宋体"/>
        </w:rPr>
        <w:t>：参加政府采购活动前三年内在经营活动中没有重大违法记录的书面声明</w:t>
      </w:r>
      <w:r>
        <w:tab/>
      </w:r>
      <w:r>
        <w:fldChar w:fldCharType="begin"/>
      </w:r>
      <w:r>
        <w:instrText xml:space="preserve"> PAGEREF _Toc84455592 \h </w:instrText>
      </w:r>
      <w:r>
        <w:fldChar w:fldCharType="separate"/>
      </w:r>
      <w:r>
        <w:t>34</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"_Toc84455593" </w:instrText>
      </w:r>
      <w:r>
        <w:fldChar w:fldCharType="separate"/>
      </w:r>
      <w:r>
        <w:rPr>
          <w:rStyle w:val="43"/>
          <w:rFonts w:hint="eastAsia" w:ascii="宋体" w:hAnsi="宋体"/>
        </w:rPr>
        <w:t>格式</w:t>
      </w:r>
      <w:r>
        <w:rPr>
          <w:rStyle w:val="43"/>
          <w:rFonts w:ascii="宋体" w:hAnsi="宋体"/>
        </w:rPr>
        <w:t>6</w:t>
      </w:r>
      <w:r>
        <w:rPr>
          <w:rStyle w:val="43"/>
          <w:rFonts w:hint="eastAsia" w:ascii="宋体" w:hAnsi="宋体"/>
        </w:rPr>
        <w:t>：构成响应文件的其他资料</w:t>
      </w:r>
      <w:r>
        <w:tab/>
      </w:r>
      <w:r>
        <w:fldChar w:fldCharType="begin"/>
      </w:r>
      <w:r>
        <w:instrText xml:space="preserve"> PAGEREF _Toc84455593 \h </w:instrText>
      </w:r>
      <w:r>
        <w:fldChar w:fldCharType="separate"/>
      </w:r>
      <w:r>
        <w:t>35</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"_Toc84455594" </w:instrText>
      </w:r>
      <w:r>
        <w:fldChar w:fldCharType="separate"/>
      </w:r>
      <w:r>
        <w:rPr>
          <w:rStyle w:val="43"/>
          <w:rFonts w:hint="eastAsia" w:ascii="宋体" w:hAnsi="宋体"/>
        </w:rPr>
        <w:t>技术文件</w:t>
      </w:r>
      <w:r>
        <w:tab/>
      </w:r>
      <w:r>
        <w:fldChar w:fldCharType="begin"/>
      </w:r>
      <w:r>
        <w:instrText xml:space="preserve"> PAGEREF _Toc84455594 \h </w:instrText>
      </w:r>
      <w:r>
        <w:fldChar w:fldCharType="separate"/>
      </w:r>
      <w:r>
        <w:t>35</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"_Toc84455595" </w:instrText>
      </w:r>
      <w:r>
        <w:fldChar w:fldCharType="separate"/>
      </w:r>
      <w:r>
        <w:rPr>
          <w:rStyle w:val="43"/>
          <w:rFonts w:hint="eastAsia" w:ascii="宋体" w:hAnsi="宋体"/>
        </w:rPr>
        <w:t>格式</w:t>
      </w:r>
      <w:r>
        <w:rPr>
          <w:rStyle w:val="43"/>
          <w:rFonts w:ascii="宋体" w:hAnsi="宋体"/>
        </w:rPr>
        <w:t>7 :</w:t>
      </w:r>
      <w:r>
        <w:rPr>
          <w:rStyle w:val="43"/>
          <w:rFonts w:hint="eastAsia" w:ascii="宋体" w:hAnsi="宋体"/>
        </w:rPr>
        <w:t>货物说明一览表</w:t>
      </w:r>
      <w:r>
        <w:tab/>
      </w:r>
      <w:r>
        <w:fldChar w:fldCharType="begin"/>
      </w:r>
      <w:r>
        <w:instrText xml:space="preserve"> PAGEREF _Toc84455595 \h </w:instrText>
      </w:r>
      <w:r>
        <w:fldChar w:fldCharType="separate"/>
      </w:r>
      <w:r>
        <w:t>36</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"_Toc84455596" </w:instrText>
      </w:r>
      <w:r>
        <w:fldChar w:fldCharType="separate"/>
      </w:r>
      <w:r>
        <w:rPr>
          <w:rStyle w:val="43"/>
          <w:rFonts w:hint="eastAsia" w:ascii="宋体" w:hAnsi="宋体"/>
        </w:rPr>
        <w:t>格式</w:t>
      </w:r>
      <w:r>
        <w:rPr>
          <w:rStyle w:val="43"/>
          <w:rFonts w:ascii="宋体" w:hAnsi="宋体"/>
        </w:rPr>
        <w:t xml:space="preserve"> 8</w:t>
      </w:r>
      <w:r>
        <w:rPr>
          <w:rStyle w:val="43"/>
          <w:rFonts w:hint="eastAsia" w:ascii="宋体" w:hAnsi="宋体"/>
        </w:rPr>
        <w:t>：技术规格、参数响应</w:t>
      </w:r>
      <w:r>
        <w:rPr>
          <w:rStyle w:val="43"/>
          <w:rFonts w:ascii="宋体" w:hAnsi="宋体"/>
        </w:rPr>
        <w:t>/</w:t>
      </w:r>
      <w:r>
        <w:rPr>
          <w:rStyle w:val="43"/>
          <w:rFonts w:hint="eastAsia" w:ascii="宋体" w:hAnsi="宋体"/>
        </w:rPr>
        <w:t>偏离表</w:t>
      </w:r>
      <w:r>
        <w:tab/>
      </w:r>
      <w:r>
        <w:fldChar w:fldCharType="begin"/>
      </w:r>
      <w:r>
        <w:instrText xml:space="preserve"> PAGEREF _Toc84455596 \h </w:instrText>
      </w:r>
      <w:r>
        <w:fldChar w:fldCharType="separate"/>
      </w:r>
      <w:r>
        <w:t>37</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"_Toc84455597" </w:instrText>
      </w:r>
      <w:r>
        <w:fldChar w:fldCharType="separate"/>
      </w:r>
      <w:r>
        <w:rPr>
          <w:rStyle w:val="43"/>
          <w:rFonts w:hint="eastAsia" w:ascii="宋体" w:hAnsi="宋体"/>
        </w:rPr>
        <w:t>格式</w:t>
      </w:r>
      <w:r>
        <w:rPr>
          <w:rStyle w:val="43"/>
          <w:rFonts w:ascii="宋体" w:hAnsi="宋体"/>
        </w:rPr>
        <w:t>9</w:t>
      </w:r>
      <w:r>
        <w:rPr>
          <w:rStyle w:val="43"/>
          <w:rFonts w:hint="eastAsia" w:ascii="宋体" w:hAnsi="宋体"/>
        </w:rPr>
        <w:t>：实施交货方案及说明</w:t>
      </w:r>
      <w:r>
        <w:tab/>
      </w:r>
      <w:r>
        <w:fldChar w:fldCharType="begin"/>
      </w:r>
      <w:r>
        <w:instrText xml:space="preserve"> PAGEREF _Toc84455597 \h </w:instrText>
      </w:r>
      <w:r>
        <w:fldChar w:fldCharType="separate"/>
      </w:r>
      <w:r>
        <w:t>37</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"_Toc84455598" </w:instrText>
      </w:r>
      <w:r>
        <w:fldChar w:fldCharType="separate"/>
      </w:r>
      <w:r>
        <w:rPr>
          <w:rStyle w:val="43"/>
          <w:rFonts w:hint="eastAsia" w:ascii="宋体" w:hAnsi="宋体"/>
        </w:rPr>
        <w:t>格式</w:t>
      </w:r>
      <w:r>
        <w:rPr>
          <w:rStyle w:val="43"/>
          <w:rFonts w:ascii="宋体" w:hAnsi="宋体"/>
        </w:rPr>
        <w:t>10</w:t>
      </w:r>
      <w:r>
        <w:rPr>
          <w:rStyle w:val="43"/>
          <w:rFonts w:hint="eastAsia" w:ascii="宋体" w:hAnsi="宋体"/>
        </w:rPr>
        <w:t>：质量保证和售后服务承诺书</w:t>
      </w:r>
      <w:r>
        <w:tab/>
      </w:r>
      <w:r>
        <w:fldChar w:fldCharType="begin"/>
      </w:r>
      <w:r>
        <w:instrText xml:space="preserve"> PAGEREF _Toc84455598 \h </w:instrText>
      </w:r>
      <w:r>
        <w:fldChar w:fldCharType="separate"/>
      </w:r>
      <w:r>
        <w:t>38</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"_Toc84455599" </w:instrText>
      </w:r>
      <w:r>
        <w:fldChar w:fldCharType="separate"/>
      </w:r>
      <w:r>
        <w:rPr>
          <w:rStyle w:val="43"/>
          <w:rFonts w:hint="eastAsia" w:ascii="宋体" w:hAnsi="宋体"/>
        </w:rPr>
        <w:t>格式</w:t>
      </w:r>
      <w:r>
        <w:rPr>
          <w:rStyle w:val="43"/>
          <w:rFonts w:ascii="宋体" w:hAnsi="宋体"/>
        </w:rPr>
        <w:t>11</w:t>
      </w:r>
      <w:r>
        <w:rPr>
          <w:rStyle w:val="43"/>
          <w:rFonts w:hint="eastAsia" w:ascii="宋体" w:hAnsi="宋体"/>
        </w:rPr>
        <w:t>：投标货物符合谈判文件规定的证明文件</w:t>
      </w:r>
      <w:r>
        <w:tab/>
      </w:r>
      <w:r>
        <w:fldChar w:fldCharType="begin"/>
      </w:r>
      <w:r>
        <w:instrText xml:space="preserve"> PAGEREF _Toc84455599 \h </w:instrText>
      </w:r>
      <w:r>
        <w:fldChar w:fldCharType="separate"/>
      </w:r>
      <w:r>
        <w:t>39</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"_Toc84455600" </w:instrText>
      </w:r>
      <w:r>
        <w:fldChar w:fldCharType="separate"/>
      </w:r>
      <w:r>
        <w:rPr>
          <w:rStyle w:val="43"/>
          <w:rFonts w:hint="eastAsia" w:ascii="宋体" w:hAnsi="宋体"/>
        </w:rPr>
        <w:t>格式</w:t>
      </w:r>
      <w:r>
        <w:rPr>
          <w:rStyle w:val="43"/>
          <w:rFonts w:ascii="宋体" w:hAnsi="宋体"/>
        </w:rPr>
        <w:t>12</w:t>
      </w:r>
      <w:r>
        <w:rPr>
          <w:rStyle w:val="43"/>
          <w:rFonts w:hint="eastAsia" w:ascii="宋体" w:hAnsi="宋体"/>
        </w:rPr>
        <w:t>：其他声明</w:t>
      </w:r>
      <w:r>
        <w:tab/>
      </w:r>
      <w:r>
        <w:fldChar w:fldCharType="begin"/>
      </w:r>
      <w:r>
        <w:instrText xml:space="preserve"> PAGEREF _Toc84455600 \h </w:instrText>
      </w:r>
      <w:r>
        <w:fldChar w:fldCharType="separate"/>
      </w:r>
      <w:r>
        <w:t>39</w:t>
      </w:r>
      <w:r>
        <w:fldChar w:fldCharType="end"/>
      </w:r>
      <w:r>
        <w:fldChar w:fldCharType="end"/>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 HYPERLINK \l "_Toc84455601" </w:instrText>
      </w:r>
      <w:r>
        <w:fldChar w:fldCharType="separate"/>
      </w:r>
      <w:r>
        <w:rPr>
          <w:rStyle w:val="43"/>
          <w:rFonts w:hint="eastAsia" w:ascii="黑体"/>
        </w:rPr>
        <w:t>第五章</w:t>
      </w:r>
      <w:r>
        <w:rPr>
          <w:rStyle w:val="43"/>
          <w:rFonts w:ascii="黑体"/>
        </w:rPr>
        <w:t xml:space="preserve">  </w:t>
      </w:r>
      <w:r>
        <w:rPr>
          <w:rStyle w:val="43"/>
          <w:rFonts w:hint="eastAsia" w:ascii="黑体"/>
        </w:rPr>
        <w:t>技术规格、参数与要求</w:t>
      </w:r>
      <w:r>
        <w:tab/>
      </w:r>
      <w:r>
        <w:fldChar w:fldCharType="begin"/>
      </w:r>
      <w:r>
        <w:instrText xml:space="preserve"> PAGEREF _Toc84455601 \h </w:instrText>
      </w:r>
      <w:r>
        <w:fldChar w:fldCharType="separate"/>
      </w:r>
      <w:r>
        <w:t>39</w:t>
      </w:r>
      <w:r>
        <w:fldChar w:fldCharType="end"/>
      </w:r>
      <w:r>
        <w:fldChar w:fldCharType="end"/>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 HYPERLINK \l "_Toc84455602" </w:instrText>
      </w:r>
      <w:r>
        <w:fldChar w:fldCharType="separate"/>
      </w:r>
      <w:r>
        <w:rPr>
          <w:rStyle w:val="43"/>
          <w:rFonts w:hint="eastAsia" w:ascii="黑体"/>
        </w:rPr>
        <w:t>第六章</w:t>
      </w:r>
      <w:r>
        <w:rPr>
          <w:rStyle w:val="43"/>
          <w:rFonts w:ascii="黑体"/>
        </w:rPr>
        <w:t xml:space="preserve">  </w:t>
      </w:r>
      <w:r>
        <w:rPr>
          <w:rStyle w:val="43"/>
          <w:rFonts w:hint="eastAsia" w:ascii="黑体"/>
        </w:rPr>
        <w:t>评审办法</w:t>
      </w:r>
      <w:r>
        <w:tab/>
      </w:r>
      <w:r>
        <w:fldChar w:fldCharType="begin"/>
      </w:r>
      <w:r>
        <w:instrText xml:space="preserve"> PAGEREF _Toc84455602 \h </w:instrText>
      </w:r>
      <w:r>
        <w:fldChar w:fldCharType="separate"/>
      </w:r>
      <w:r>
        <w:t>44</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"_Toc84455603" </w:instrText>
      </w:r>
      <w:r>
        <w:fldChar w:fldCharType="separate"/>
      </w:r>
      <w:r>
        <w:rPr>
          <w:rStyle w:val="43"/>
          <w:rFonts w:hint="eastAsia" w:ascii="宋体" w:hAnsi="宋体"/>
        </w:rPr>
        <w:t>评审办法前附表</w:t>
      </w:r>
      <w:r>
        <w:tab/>
      </w:r>
      <w:r>
        <w:fldChar w:fldCharType="begin"/>
      </w:r>
      <w:r>
        <w:instrText xml:space="preserve"> PAGEREF _Toc84455603 \h </w:instrText>
      </w:r>
      <w:r>
        <w:fldChar w:fldCharType="separate"/>
      </w:r>
      <w:r>
        <w:t>44</w:t>
      </w:r>
      <w:r>
        <w:fldChar w:fldCharType="end"/>
      </w:r>
      <w:r>
        <w:fldChar w:fldCharType="end"/>
      </w:r>
    </w:p>
    <w:p>
      <w:pPr>
        <w:pStyle w:val="24"/>
        <w:tabs>
          <w:tab w:val="right" w:leader="dot" w:pos="9345"/>
        </w:tabs>
        <w:ind w:firstLine="105"/>
        <w:rPr>
          <w:rFonts w:asciiTheme="minorHAnsi" w:hAnsiTheme="minorHAnsi" w:eastAsiaTheme="minorEastAsia" w:cstheme="minorBidi"/>
          <w:bCs w:val="0"/>
          <w:caps w:val="0"/>
          <w:szCs w:val="22"/>
        </w:rPr>
      </w:pPr>
      <w:r>
        <w:fldChar w:fldCharType="begin"/>
      </w:r>
      <w:r>
        <w:instrText xml:space="preserve"> HYPERLINK \l "_Toc84455604" </w:instrText>
      </w:r>
      <w:r>
        <w:fldChar w:fldCharType="separate"/>
      </w:r>
      <w:r>
        <w:rPr>
          <w:rStyle w:val="43"/>
          <w:rFonts w:hint="eastAsia" w:ascii="黑体"/>
        </w:rPr>
        <w:t>第七章</w:t>
      </w:r>
      <w:r>
        <w:rPr>
          <w:rStyle w:val="43"/>
          <w:rFonts w:ascii="黑体"/>
        </w:rPr>
        <w:t xml:space="preserve"> </w:t>
      </w:r>
      <w:r>
        <w:rPr>
          <w:rStyle w:val="43"/>
          <w:rFonts w:hint="eastAsia" w:ascii="黑体"/>
        </w:rPr>
        <w:t>供应商质疑函范本</w:t>
      </w:r>
      <w:r>
        <w:tab/>
      </w:r>
      <w:r>
        <w:fldChar w:fldCharType="begin"/>
      </w:r>
      <w:r>
        <w:instrText xml:space="preserve"> PAGEREF _Toc84455604 \h </w:instrText>
      </w:r>
      <w:r>
        <w:fldChar w:fldCharType="separate"/>
      </w:r>
      <w:r>
        <w:t>47</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"_Toc84455605" </w:instrText>
      </w:r>
      <w:r>
        <w:fldChar w:fldCharType="separate"/>
      </w:r>
      <w:r>
        <w:rPr>
          <w:rStyle w:val="43"/>
          <w:rFonts w:hint="eastAsia" w:ascii="宋体" w:hAnsi="宋体"/>
        </w:rPr>
        <w:t>二次报价表（最终报价）</w:t>
      </w:r>
      <w:r>
        <w:tab/>
      </w:r>
      <w:r>
        <w:fldChar w:fldCharType="begin"/>
      </w:r>
      <w:r>
        <w:instrText xml:space="preserve"> PAGEREF _Toc84455605 \h </w:instrText>
      </w:r>
      <w:r>
        <w:fldChar w:fldCharType="separate"/>
      </w:r>
      <w:r>
        <w:t>49</w:t>
      </w:r>
      <w:r>
        <w:fldChar w:fldCharType="end"/>
      </w:r>
      <w:r>
        <w:fldChar w:fldCharType="end"/>
      </w:r>
    </w:p>
    <w:p>
      <w:pPr>
        <w:pStyle w:val="29"/>
        <w:ind w:left="420"/>
        <w:rPr>
          <w:rFonts w:asciiTheme="minorHAnsi" w:hAnsiTheme="minorHAnsi" w:eastAsiaTheme="minorEastAsia" w:cstheme="minorBidi"/>
          <w:smallCaps w:val="0"/>
          <w:szCs w:val="22"/>
        </w:rPr>
      </w:pPr>
      <w:r>
        <w:fldChar w:fldCharType="begin"/>
      </w:r>
      <w:r>
        <w:instrText xml:space="preserve"> HYPERLINK \l "_Toc84455606" </w:instrText>
      </w:r>
      <w:r>
        <w:fldChar w:fldCharType="separate"/>
      </w:r>
      <w:r>
        <w:rPr>
          <w:rStyle w:val="43"/>
          <w:rFonts w:hint="eastAsia" w:ascii="宋体" w:hAnsi="宋体"/>
        </w:rPr>
        <w:t>二次报价明细表</w:t>
      </w:r>
      <w:r>
        <w:tab/>
      </w:r>
      <w:r>
        <w:fldChar w:fldCharType="begin"/>
      </w:r>
      <w:r>
        <w:instrText xml:space="preserve"> PAGEREF _Toc84455606 \h </w:instrText>
      </w:r>
      <w:r>
        <w:fldChar w:fldCharType="separate"/>
      </w:r>
      <w:r>
        <w:t>50</w:t>
      </w:r>
      <w:r>
        <w:fldChar w:fldCharType="end"/>
      </w:r>
      <w:r>
        <w:fldChar w:fldCharType="end"/>
      </w:r>
    </w:p>
    <w:p>
      <w:pPr>
        <w:pStyle w:val="17"/>
        <w:spacing w:line="360" w:lineRule="auto"/>
        <w:jc w:val="center"/>
        <w:rPr>
          <w:b/>
          <w:bCs/>
          <w:sz w:val="32"/>
          <w:szCs w:val="32"/>
        </w:rPr>
        <w:sectPr>
          <w:headerReference r:id="rId3" w:type="first"/>
          <w:footerReference r:id="rId4" w:type="default"/>
          <w:footerReference r:id="rId5" w:type="even"/>
          <w:pgSz w:w="11906" w:h="16838"/>
          <w:pgMar w:top="1418" w:right="1134" w:bottom="1134" w:left="1417" w:header="779" w:footer="720" w:gutter="0"/>
          <w:pgNumType w:start="1"/>
          <w:cols w:space="720" w:num="1"/>
          <w:titlePg/>
          <w:docGrid w:linePitch="331" w:charSpace="0"/>
        </w:sectPr>
      </w:pPr>
      <w:r>
        <w:fldChar w:fldCharType="end"/>
      </w:r>
    </w:p>
    <w:p>
      <w:pPr>
        <w:pStyle w:val="3"/>
        <w:ind w:left="0" w:firstLine="0"/>
        <w:jc w:val="center"/>
        <w:rPr>
          <w:rFonts w:ascii="黑体"/>
          <w:bCs w:val="0"/>
          <w:sz w:val="32"/>
        </w:rPr>
      </w:pPr>
      <w:bookmarkStart w:id="0" w:name="_Toc60996674"/>
      <w:bookmarkStart w:id="1" w:name="_Toc20587_WPSOffice_Level1"/>
      <w:bookmarkStart w:id="2" w:name="_Toc84455568"/>
      <w:bookmarkStart w:id="3" w:name="_第一章__招标公告"/>
      <w:r>
        <w:rPr>
          <w:rFonts w:hint="eastAsia" w:ascii="黑体"/>
          <w:sz w:val="32"/>
          <w:szCs w:val="32"/>
        </w:rPr>
        <w:t xml:space="preserve">第一章   </w:t>
      </w:r>
      <w:r>
        <w:rPr>
          <w:rFonts w:hint="eastAsia" w:ascii="黑体" w:hAnsi="黑体"/>
          <w:bCs w:val="0"/>
          <w:sz w:val="32"/>
        </w:rPr>
        <w:t>竞争性谈判公告</w:t>
      </w:r>
      <w:bookmarkEnd w:id="0"/>
      <w:bookmarkEnd w:id="1"/>
      <w:bookmarkEnd w:id="2"/>
    </w:p>
    <w:bookmarkEnd w:id="3"/>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楚雄医药高等专科学校半自动体外除颤仪（AED）、急救箱、医疗箱采购项目的潜在供应商应在</w:t>
      </w:r>
      <w:r>
        <w:rPr>
          <w:rFonts w:hint="eastAsia" w:ascii="仿宋" w:hAnsi="仿宋" w:eastAsia="仿宋" w:cs="仿宋"/>
          <w:sz w:val="28"/>
          <w:szCs w:val="28"/>
          <w:lang w:val="zh-CN"/>
        </w:rPr>
        <w:t>请楚雄医药高等专科学校后勤处招标公示栏</w:t>
      </w:r>
      <w:r>
        <w:rPr>
          <w:rFonts w:hint="eastAsia" w:ascii="仿宋" w:hAnsi="仿宋" w:eastAsia="仿宋" w:cs="仿宋"/>
          <w:sz w:val="28"/>
          <w:szCs w:val="28"/>
        </w:rPr>
        <w:t>获取采购文件，</w:t>
      </w:r>
      <w:r>
        <w:rPr>
          <w:rFonts w:hint="eastAsia" w:ascii="仿宋" w:hAnsi="仿宋" w:eastAsia="仿宋" w:cs="仿宋"/>
          <w:sz w:val="28"/>
          <w:szCs w:val="28"/>
          <w:lang w:val="zh-CN"/>
        </w:rPr>
        <w:t>并于2021年10月15日</w:t>
      </w:r>
      <w:r>
        <w:rPr>
          <w:rFonts w:hint="eastAsia" w:ascii="仿宋" w:hAnsi="仿宋" w:eastAsia="仿宋" w:cs="仿宋"/>
          <w:sz w:val="28"/>
          <w:szCs w:val="28"/>
          <w:lang w:val="en-US" w:eastAsia="zh-CN"/>
        </w:rPr>
        <w:t>9</w:t>
      </w:r>
      <w:bookmarkStart w:id="351" w:name="_GoBack"/>
      <w:bookmarkEnd w:id="351"/>
      <w:r>
        <w:rPr>
          <w:rFonts w:hint="eastAsia" w:ascii="仿宋" w:hAnsi="仿宋" w:eastAsia="仿宋" w:cs="仿宋"/>
          <w:sz w:val="28"/>
          <w:szCs w:val="28"/>
          <w:lang w:val="zh-CN"/>
        </w:rPr>
        <w:t>点 30分（北京时间）</w:t>
      </w:r>
      <w:r>
        <w:rPr>
          <w:rFonts w:hint="eastAsia" w:ascii="仿宋" w:hAnsi="仿宋" w:eastAsia="仿宋" w:cs="仿宋"/>
          <w:sz w:val="28"/>
          <w:szCs w:val="28"/>
        </w:rPr>
        <w:t>前递交响应文件。</w:t>
      </w:r>
    </w:p>
    <w:p>
      <w:pPr>
        <w:spacing w:line="460" w:lineRule="exact"/>
        <w:rPr>
          <w:rFonts w:ascii="仿宋" w:hAnsi="仿宋" w:eastAsia="仿宋" w:cs="仿宋"/>
          <w:sz w:val="28"/>
          <w:szCs w:val="28"/>
        </w:rPr>
      </w:pPr>
      <w:bookmarkStart w:id="4" w:name="_Toc28359079"/>
      <w:bookmarkStart w:id="5" w:name="_Toc35393790"/>
      <w:bookmarkStart w:id="6" w:name="_Toc28359002"/>
      <w:bookmarkStart w:id="7" w:name="_Toc44621995"/>
      <w:bookmarkStart w:id="8" w:name="_Toc29731_WPSOffice_Level2"/>
      <w:bookmarkStart w:id="9" w:name="_Toc35393621"/>
      <w:bookmarkStart w:id="10" w:name="_Hlk24379207"/>
      <w:r>
        <w:rPr>
          <w:rFonts w:hint="eastAsia" w:ascii="仿宋" w:hAnsi="仿宋" w:eastAsia="仿宋" w:cs="仿宋"/>
          <w:sz w:val="28"/>
          <w:szCs w:val="28"/>
        </w:rPr>
        <w:t>一、项目基本情况</w:t>
      </w:r>
      <w:bookmarkEnd w:id="4"/>
      <w:bookmarkEnd w:id="5"/>
      <w:bookmarkEnd w:id="6"/>
      <w:bookmarkEnd w:id="7"/>
      <w:bookmarkEnd w:id="8"/>
      <w:bookmarkEnd w:id="9"/>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CZYZC(2021)15</w:t>
      </w:r>
      <w:r>
        <w:rPr>
          <w:rFonts w:hint="eastAsia" w:ascii="仿宋" w:hAnsi="仿宋" w:eastAsia="仿宋" w:cs="仿宋"/>
          <w:sz w:val="28"/>
          <w:szCs w:val="28"/>
        </w:rPr>
        <w:t>号</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项目名称：楚雄医药高等专科学校半自动体外除颤仪（AED）、急救箱、医疗箱采购项目</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采购方式：竞争性谈判 </w:t>
      </w:r>
    </w:p>
    <w:bookmarkEnd w:id="10"/>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预算金额（万元）：15.00</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最高限价（万元）：15.00</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采购需求：半自动体外除颤仪（AED）、急救箱、医疗箱一批</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合同履行期限：30个日历天</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w:t>
      </w:r>
    </w:p>
    <w:p>
      <w:pPr>
        <w:spacing w:line="460" w:lineRule="exact"/>
        <w:rPr>
          <w:rFonts w:ascii="仿宋" w:hAnsi="仿宋" w:eastAsia="仿宋" w:cs="仿宋"/>
          <w:sz w:val="28"/>
          <w:szCs w:val="28"/>
        </w:rPr>
      </w:pPr>
      <w:bookmarkStart w:id="11" w:name="_Toc28359080"/>
      <w:bookmarkStart w:id="12" w:name="_Toc35393791"/>
      <w:bookmarkStart w:id="13" w:name="_Toc44621996"/>
      <w:bookmarkStart w:id="14" w:name="_Toc31955_WPSOffice_Level2"/>
      <w:bookmarkStart w:id="15" w:name="_Toc35393622"/>
      <w:bookmarkStart w:id="16" w:name="_Toc28359003"/>
      <w:r>
        <w:rPr>
          <w:rFonts w:hint="eastAsia" w:ascii="仿宋" w:hAnsi="仿宋" w:eastAsia="仿宋" w:cs="仿宋"/>
          <w:sz w:val="28"/>
          <w:szCs w:val="28"/>
        </w:rPr>
        <w:t>二、申请人的资格要求</w:t>
      </w:r>
      <w:bookmarkEnd w:id="11"/>
      <w:bookmarkEnd w:id="12"/>
      <w:bookmarkEnd w:id="13"/>
      <w:bookmarkEnd w:id="14"/>
      <w:bookmarkEnd w:id="15"/>
      <w:bookmarkEnd w:id="16"/>
    </w:p>
    <w:p>
      <w:pPr>
        <w:spacing w:line="460" w:lineRule="exact"/>
        <w:ind w:firstLine="560" w:firstLineChars="200"/>
        <w:rPr>
          <w:rFonts w:ascii="仿宋" w:hAnsi="仿宋" w:eastAsia="仿宋" w:cs="仿宋"/>
          <w:sz w:val="28"/>
          <w:szCs w:val="28"/>
        </w:rPr>
      </w:pPr>
      <w:bookmarkStart w:id="17" w:name="_Toc29731_WPSOffice_Level3"/>
      <w:r>
        <w:rPr>
          <w:rFonts w:hint="eastAsia" w:ascii="仿宋" w:hAnsi="仿宋" w:eastAsia="仿宋" w:cs="仿宋"/>
          <w:sz w:val="28"/>
          <w:szCs w:val="28"/>
        </w:rPr>
        <w:t>1.满足《中华人民共和国政府采购法》第二十二条规定</w:t>
      </w:r>
      <w:bookmarkEnd w:id="17"/>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1）具有独立承担民事责任的能力；</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6）法律、行政法规规定的其他条件。</w:t>
      </w:r>
    </w:p>
    <w:p>
      <w:pPr>
        <w:spacing w:line="460" w:lineRule="exact"/>
        <w:ind w:firstLine="560" w:firstLineChars="200"/>
        <w:rPr>
          <w:rFonts w:ascii="仿宋" w:hAnsi="仿宋" w:eastAsia="仿宋" w:cs="仿宋"/>
          <w:sz w:val="28"/>
          <w:szCs w:val="28"/>
        </w:rPr>
      </w:pPr>
      <w:bookmarkStart w:id="18" w:name="_Toc31955_WPSOffice_Level3"/>
      <w:bookmarkStart w:id="19" w:name="_Toc28359004"/>
      <w:bookmarkStart w:id="20" w:name="_Toc28359081"/>
      <w:r>
        <w:rPr>
          <w:rFonts w:hint="eastAsia" w:ascii="仿宋" w:hAnsi="仿宋" w:eastAsia="仿宋" w:cs="仿宋"/>
          <w:sz w:val="28"/>
          <w:szCs w:val="28"/>
        </w:rPr>
        <w:t>2.落实政府采购政策需满足的资格要求：</w:t>
      </w:r>
      <w:bookmarkEnd w:id="18"/>
      <w:r>
        <w:rPr>
          <w:rFonts w:hint="eastAsia" w:ascii="仿宋" w:hAnsi="仿宋" w:eastAsia="仿宋" w:cs="仿宋"/>
          <w:sz w:val="28"/>
          <w:szCs w:val="28"/>
        </w:rPr>
        <w:t>无</w:t>
      </w:r>
    </w:p>
    <w:p>
      <w:pPr>
        <w:tabs>
          <w:tab w:val="left" w:pos="426"/>
        </w:tabs>
        <w:adjustRightInd w:val="0"/>
        <w:snapToGrid w:val="0"/>
        <w:spacing w:line="500" w:lineRule="exact"/>
        <w:ind w:firstLine="560" w:firstLineChars="200"/>
        <w:rPr>
          <w:rFonts w:ascii="宋体" w:hAnsi="宋体" w:cs="宋体"/>
          <w:kern w:val="0"/>
          <w:sz w:val="24"/>
          <w:szCs w:val="21"/>
        </w:rPr>
      </w:pPr>
      <w:bookmarkStart w:id="21" w:name="_Toc20584_WPSOffice_Level3"/>
      <w:r>
        <w:rPr>
          <w:rFonts w:hint="eastAsia" w:ascii="仿宋" w:hAnsi="仿宋" w:eastAsia="仿宋" w:cs="仿宋"/>
          <w:sz w:val="28"/>
          <w:szCs w:val="28"/>
        </w:rPr>
        <w:t>3.本项目的特定资格要求：</w:t>
      </w:r>
      <w:bookmarkEnd w:id="21"/>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3.1投标人具有医疗器械经营企业许可证或经营备案凭证（若投标人为</w:t>
      </w:r>
    </w:p>
    <w:p>
      <w:pPr>
        <w:spacing w:line="460" w:lineRule="exact"/>
        <w:rPr>
          <w:rFonts w:ascii="仿宋" w:hAnsi="仿宋" w:eastAsia="仿宋" w:cs="仿宋"/>
          <w:sz w:val="28"/>
          <w:szCs w:val="28"/>
        </w:rPr>
      </w:pPr>
      <w:r>
        <w:rPr>
          <w:rFonts w:hint="eastAsia" w:ascii="仿宋" w:hAnsi="仿宋" w:eastAsia="仿宋" w:cs="仿宋"/>
          <w:sz w:val="28"/>
          <w:szCs w:val="28"/>
        </w:rPr>
        <w:t>所投产品的制造商则具有医疗器械生产企业许可证），并有相应经营或生产范围（提供相对应许可证）。</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3.2供应商在投标截止时间前未被列入“信用中国”网站（www.creditchina.gov.cn）失信被执行人、重大税收违法案件当事人名单、政府采购严重违法失信行为记录名单，供应商须提供查询结果网页截图和承诺函。若为失信企业，将取消中标资格。</w:t>
      </w:r>
    </w:p>
    <w:p>
      <w:pPr>
        <w:spacing w:line="460" w:lineRule="exact"/>
        <w:rPr>
          <w:rFonts w:ascii="仿宋" w:hAnsi="仿宋" w:eastAsia="仿宋" w:cs="仿宋"/>
          <w:sz w:val="28"/>
          <w:szCs w:val="28"/>
        </w:rPr>
      </w:pPr>
      <w:bookmarkStart w:id="22" w:name="_Toc20584_WPSOffice_Level2"/>
      <w:bookmarkStart w:id="23" w:name="_Toc35393792"/>
      <w:bookmarkStart w:id="24" w:name="_Toc35393623"/>
      <w:bookmarkStart w:id="25" w:name="_Toc44621997"/>
      <w:r>
        <w:rPr>
          <w:rFonts w:hint="eastAsia" w:ascii="仿宋" w:hAnsi="仿宋" w:eastAsia="仿宋" w:cs="仿宋"/>
          <w:sz w:val="28"/>
          <w:szCs w:val="28"/>
        </w:rPr>
        <w:t>三、获取采购文件</w:t>
      </w:r>
      <w:bookmarkEnd w:id="19"/>
      <w:bookmarkEnd w:id="20"/>
      <w:bookmarkEnd w:id="22"/>
      <w:bookmarkEnd w:id="23"/>
      <w:bookmarkEnd w:id="24"/>
      <w:bookmarkEnd w:id="25"/>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时间：</w:t>
      </w:r>
      <w:r>
        <w:rPr>
          <w:rFonts w:hint="eastAsia" w:ascii="仿宋" w:hAnsi="仿宋" w:eastAsia="仿宋" w:cs="仿宋"/>
          <w:sz w:val="28"/>
          <w:szCs w:val="28"/>
          <w:lang w:eastAsia="zh-CN"/>
        </w:rPr>
        <w:t>2021年10月08日至2021年10月1</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日</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lang w:val="zh-CN"/>
        </w:rPr>
        <w:t>楚雄医药高等专科学校后勤处招标公示栏下载</w:t>
      </w:r>
      <w:r>
        <w:rPr>
          <w:rFonts w:hint="eastAsia" w:ascii="仿宋" w:hAnsi="仿宋" w:eastAsia="仿宋" w:cs="仿宋"/>
          <w:sz w:val="28"/>
          <w:szCs w:val="28"/>
        </w:rPr>
        <w:t>（</w:t>
      </w:r>
      <w:r>
        <w:rPr>
          <w:rFonts w:hint="eastAsia" w:ascii="仿宋" w:hAnsi="仿宋" w:eastAsia="仿宋" w:cs="仿宋"/>
          <w:sz w:val="28"/>
          <w:szCs w:val="28"/>
          <w:lang w:val="zh-CN"/>
        </w:rPr>
        <w:t>网址</w:t>
      </w:r>
      <w:r>
        <w:rPr>
          <w:rFonts w:hint="eastAsia" w:ascii="仿宋" w:hAnsi="仿宋" w:eastAsia="仿宋" w:cs="仿宋"/>
          <w:sz w:val="28"/>
          <w:szCs w:val="28"/>
        </w:rPr>
        <w:t>：</w:t>
      </w:r>
      <w:r>
        <w:fldChar w:fldCharType="begin"/>
      </w:r>
      <w:r>
        <w:instrText xml:space="preserve"> HYPERLINK "http://hqc.cxmtc.net/default.html）" </w:instrText>
      </w:r>
      <w:r>
        <w:fldChar w:fldCharType="separate"/>
      </w:r>
      <w:r>
        <w:rPr>
          <w:rStyle w:val="43"/>
          <w:rFonts w:hint="eastAsia" w:ascii="仿宋" w:hAnsi="仿宋" w:eastAsia="仿宋" w:cs="仿宋"/>
          <w:sz w:val="28"/>
          <w:szCs w:val="28"/>
        </w:rPr>
        <w:t>http://hqc.cxmtc.net/default.html）</w:t>
      </w:r>
      <w:r>
        <w:rPr>
          <w:rStyle w:val="43"/>
          <w:rFonts w:hint="eastAsia" w:ascii="仿宋" w:hAnsi="仿宋" w:eastAsia="仿宋" w:cs="仿宋"/>
          <w:sz w:val="28"/>
          <w:szCs w:val="28"/>
        </w:rPr>
        <w:fldChar w:fldCharType="end"/>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方式：网上自行下载</w:t>
      </w:r>
    </w:p>
    <w:p>
      <w:pPr>
        <w:spacing w:line="460" w:lineRule="exact"/>
        <w:rPr>
          <w:rFonts w:ascii="仿宋" w:hAnsi="仿宋" w:eastAsia="仿宋" w:cs="仿宋"/>
          <w:sz w:val="28"/>
          <w:szCs w:val="28"/>
        </w:rPr>
      </w:pPr>
      <w:bookmarkStart w:id="26" w:name="_Toc28359082"/>
      <w:bookmarkStart w:id="27" w:name="_Toc28359005"/>
      <w:bookmarkStart w:id="28" w:name="_Toc35393624"/>
      <w:bookmarkStart w:id="29" w:name="_Toc44621998"/>
      <w:bookmarkStart w:id="30" w:name="_Toc26790_WPSOffice_Level2"/>
      <w:bookmarkStart w:id="31" w:name="_Toc35393793"/>
      <w:r>
        <w:rPr>
          <w:rFonts w:hint="eastAsia" w:ascii="仿宋" w:hAnsi="仿宋" w:eastAsia="仿宋" w:cs="仿宋"/>
          <w:sz w:val="28"/>
          <w:szCs w:val="28"/>
        </w:rPr>
        <w:t>四、</w:t>
      </w:r>
      <w:bookmarkEnd w:id="26"/>
      <w:bookmarkEnd w:id="27"/>
      <w:r>
        <w:rPr>
          <w:rFonts w:hint="eastAsia" w:ascii="仿宋" w:hAnsi="仿宋" w:eastAsia="仿宋" w:cs="仿宋"/>
          <w:sz w:val="28"/>
          <w:szCs w:val="28"/>
        </w:rPr>
        <w:t>响应文件提交</w:t>
      </w:r>
    </w:p>
    <w:p>
      <w:pPr>
        <w:spacing w:line="460" w:lineRule="exact"/>
        <w:rPr>
          <w:rFonts w:ascii="仿宋" w:hAnsi="仿宋" w:eastAsia="仿宋" w:cs="仿宋"/>
          <w:sz w:val="28"/>
          <w:szCs w:val="28"/>
          <w:highlight w:val="yellow"/>
        </w:rPr>
      </w:pPr>
      <w:r>
        <w:rPr>
          <w:rFonts w:hint="eastAsia" w:ascii="仿宋" w:hAnsi="仿宋" w:eastAsia="仿宋" w:cs="仿宋"/>
          <w:sz w:val="28"/>
          <w:szCs w:val="28"/>
        </w:rPr>
        <w:t xml:space="preserve">    截止时间</w:t>
      </w:r>
      <w:bookmarkEnd w:id="28"/>
      <w:bookmarkEnd w:id="29"/>
      <w:bookmarkEnd w:id="30"/>
      <w:bookmarkEnd w:id="31"/>
      <w:r>
        <w:rPr>
          <w:rFonts w:hint="eastAsia" w:ascii="仿宋" w:hAnsi="仿宋" w:eastAsia="仿宋" w:cs="仿宋"/>
          <w:sz w:val="28"/>
          <w:szCs w:val="28"/>
        </w:rPr>
        <w:t>：</w:t>
      </w:r>
      <w:r>
        <w:rPr>
          <w:rFonts w:hint="eastAsia" w:ascii="仿宋" w:hAnsi="仿宋" w:eastAsia="仿宋" w:cs="仿宋"/>
          <w:sz w:val="28"/>
          <w:szCs w:val="28"/>
          <w:lang w:eastAsia="zh-CN"/>
        </w:rPr>
        <w:t>2021年10月15日</w:t>
      </w:r>
      <w:r>
        <w:rPr>
          <w:rFonts w:hint="eastAsia" w:ascii="仿宋" w:hAnsi="仿宋" w:eastAsia="仿宋" w:cs="仿宋"/>
          <w:sz w:val="28"/>
          <w:szCs w:val="28"/>
          <w:lang w:val="en-US" w:eastAsia="zh-CN"/>
        </w:rPr>
        <w:t>9</w:t>
      </w:r>
      <w:r>
        <w:rPr>
          <w:rFonts w:hint="eastAsia" w:ascii="仿宋" w:hAnsi="仿宋" w:eastAsia="仿宋" w:cs="仿宋"/>
          <w:sz w:val="28"/>
          <w:szCs w:val="28"/>
        </w:rPr>
        <w:t>点 00 分至</w:t>
      </w:r>
      <w:r>
        <w:rPr>
          <w:rFonts w:hint="eastAsia" w:ascii="仿宋" w:hAnsi="仿宋" w:eastAsia="仿宋" w:cs="仿宋"/>
          <w:sz w:val="28"/>
          <w:szCs w:val="28"/>
          <w:lang w:val="en-US" w:eastAsia="zh-CN"/>
        </w:rPr>
        <w:t>9</w:t>
      </w:r>
      <w:r>
        <w:rPr>
          <w:rFonts w:hint="eastAsia" w:ascii="仿宋" w:hAnsi="仿宋" w:eastAsia="仿宋" w:cs="仿宋"/>
          <w:sz w:val="28"/>
          <w:szCs w:val="28"/>
        </w:rPr>
        <w:t>点30 分（北京时间）</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地点：楚雄医药高等专科学校远志楼8楼保卫处会议室</w:t>
      </w:r>
    </w:p>
    <w:p>
      <w:pPr>
        <w:pStyle w:val="13"/>
        <w:rPr>
          <w:rFonts w:ascii="仿宋" w:hAnsi="仿宋" w:eastAsia="仿宋" w:cs="仿宋"/>
          <w:kern w:val="2"/>
          <w:sz w:val="28"/>
          <w:szCs w:val="28"/>
        </w:rPr>
      </w:pPr>
      <w:r>
        <w:rPr>
          <w:rFonts w:hint="eastAsia" w:ascii="仿宋" w:hAnsi="仿宋" w:eastAsia="仿宋" w:cs="仿宋"/>
          <w:kern w:val="2"/>
          <w:sz w:val="28"/>
          <w:szCs w:val="28"/>
        </w:rPr>
        <w:t>五、开启</w:t>
      </w:r>
    </w:p>
    <w:p>
      <w:pPr>
        <w:spacing w:line="460" w:lineRule="exact"/>
        <w:rPr>
          <w:rFonts w:ascii="仿宋" w:hAnsi="仿宋" w:eastAsia="仿宋" w:cs="仿宋"/>
          <w:sz w:val="28"/>
          <w:szCs w:val="28"/>
          <w:highlight w:val="none"/>
        </w:rPr>
      </w:pPr>
      <w:r>
        <w:rPr>
          <w:rFonts w:hint="eastAsia"/>
        </w:rPr>
        <w:t xml:space="preserve">   </w:t>
      </w:r>
      <w:r>
        <w:rPr>
          <w:rFonts w:hint="eastAsia" w:ascii="仿宋" w:hAnsi="仿宋" w:eastAsia="仿宋" w:cs="仿宋"/>
          <w:sz w:val="28"/>
          <w:szCs w:val="28"/>
        </w:rPr>
        <w:t xml:space="preserve"> </w:t>
      </w:r>
      <w:r>
        <w:rPr>
          <w:rFonts w:hint="eastAsia" w:ascii="仿宋" w:hAnsi="仿宋" w:eastAsia="仿宋" w:cs="仿宋"/>
          <w:sz w:val="28"/>
          <w:szCs w:val="28"/>
          <w:highlight w:val="none"/>
        </w:rPr>
        <w:t xml:space="preserve"> 时间：</w:t>
      </w:r>
      <w:r>
        <w:rPr>
          <w:rFonts w:hint="eastAsia" w:ascii="仿宋" w:hAnsi="仿宋" w:eastAsia="仿宋" w:cs="仿宋"/>
          <w:sz w:val="28"/>
          <w:szCs w:val="28"/>
          <w:highlight w:val="none"/>
          <w:lang w:eastAsia="zh-CN"/>
        </w:rPr>
        <w:t>2021年10月15日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点30 分（北京时间）</w:t>
      </w:r>
    </w:p>
    <w:p>
      <w:pPr>
        <w:spacing w:line="46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地点：</w:t>
      </w:r>
      <w:bookmarkStart w:id="32" w:name="_Toc4901_WPSOffice_Level2"/>
      <w:r>
        <w:rPr>
          <w:rFonts w:hint="eastAsia" w:ascii="仿宋" w:hAnsi="仿宋" w:eastAsia="仿宋" w:cs="仿宋"/>
          <w:sz w:val="28"/>
          <w:szCs w:val="28"/>
          <w:highlight w:val="none"/>
        </w:rPr>
        <w:t>楚雄医药高等专科学校远志楼8楼保卫处会议室</w:t>
      </w:r>
    </w:p>
    <w:bookmarkEnd w:id="32"/>
    <w:p>
      <w:pPr>
        <w:spacing w:line="460" w:lineRule="exact"/>
        <w:rPr>
          <w:rFonts w:ascii="仿宋" w:hAnsi="仿宋" w:eastAsia="仿宋" w:cs="仿宋"/>
          <w:sz w:val="28"/>
          <w:szCs w:val="28"/>
        </w:rPr>
      </w:pPr>
      <w:bookmarkStart w:id="33" w:name="_Toc30065_WPSOffice_Level2"/>
      <w:bookmarkStart w:id="34" w:name="_Toc44622000"/>
      <w:bookmarkStart w:id="35" w:name="_Toc35393626"/>
      <w:bookmarkStart w:id="36" w:name="_Toc35393795"/>
      <w:r>
        <w:rPr>
          <w:rFonts w:hint="eastAsia" w:ascii="仿宋" w:hAnsi="仿宋" w:eastAsia="仿宋" w:cs="仿宋"/>
          <w:sz w:val="28"/>
          <w:szCs w:val="28"/>
          <w:lang w:eastAsia="zh-CN"/>
        </w:rPr>
        <w:t>六</w:t>
      </w:r>
      <w:r>
        <w:rPr>
          <w:rFonts w:hint="eastAsia" w:ascii="仿宋" w:hAnsi="仿宋" w:eastAsia="仿宋" w:cs="仿宋"/>
          <w:sz w:val="28"/>
          <w:szCs w:val="28"/>
        </w:rPr>
        <w:t>、其他补充事宜</w:t>
      </w:r>
      <w:bookmarkEnd w:id="33"/>
      <w:bookmarkEnd w:id="34"/>
      <w:bookmarkEnd w:id="35"/>
      <w:bookmarkEnd w:id="36"/>
    </w:p>
    <w:p>
      <w:pPr>
        <w:spacing w:line="460" w:lineRule="exact"/>
        <w:rPr>
          <w:rFonts w:ascii="仿宋" w:hAnsi="仿宋" w:eastAsia="仿宋" w:cs="仿宋"/>
          <w:sz w:val="28"/>
          <w:szCs w:val="28"/>
        </w:rPr>
      </w:pPr>
      <w:r>
        <w:rPr>
          <w:rFonts w:hint="eastAsia" w:ascii="仿宋" w:hAnsi="仿宋" w:eastAsia="仿宋" w:cs="仿宋"/>
          <w:sz w:val="28"/>
          <w:szCs w:val="28"/>
        </w:rPr>
        <w:t xml:space="preserve">   （一）本项目采用纸质评标，在规定的响应文件递交的时间现场报名并递交响应文件。</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（二）递交响应文件截止时间到，仍未按谈判文件的要求到达，视为自动放弃投标。</w:t>
      </w:r>
    </w:p>
    <w:p>
      <w:pPr>
        <w:spacing w:line="460" w:lineRule="exact"/>
        <w:ind w:firstLine="560" w:firstLineChars="200"/>
        <w:rPr>
          <w:rFonts w:ascii="仿宋" w:hAnsi="仿宋" w:eastAsia="仿宋" w:cs="仿宋"/>
          <w:kern w:val="0"/>
          <w:sz w:val="28"/>
          <w:szCs w:val="28"/>
        </w:rPr>
      </w:pPr>
      <w:bookmarkStart w:id="37" w:name="_Toc14054_WPSOffice_Level2"/>
      <w:bookmarkStart w:id="38" w:name="_Toc44622001"/>
      <w:bookmarkStart w:id="39" w:name="_Toc28359085"/>
      <w:bookmarkStart w:id="40" w:name="_Toc28359008"/>
      <w:bookmarkStart w:id="41" w:name="_Toc35393796"/>
      <w:bookmarkStart w:id="42" w:name="_Toc35393627"/>
      <w:r>
        <w:rPr>
          <w:rFonts w:hint="eastAsia" w:ascii="仿宋" w:hAnsi="仿宋" w:eastAsia="仿宋" w:cs="仿宋"/>
          <w:sz w:val="28"/>
          <w:szCs w:val="28"/>
        </w:rPr>
        <w:t>（三）</w:t>
      </w:r>
      <w:r>
        <w:rPr>
          <w:rFonts w:hint="eastAsia" w:ascii="仿宋" w:hAnsi="仿宋" w:eastAsia="仿宋" w:cs="仿宋"/>
          <w:kern w:val="0"/>
          <w:sz w:val="28"/>
          <w:szCs w:val="28"/>
        </w:rPr>
        <w:t>法人代表或授权代表须准时到会，出示身份证原件并签名以示出席；否则，其谈判将被拒绝。</w:t>
      </w:r>
    </w:p>
    <w:p>
      <w:pPr>
        <w:pStyle w:val="2"/>
        <w:ind w:firstLine="560" w:firstLineChars="200"/>
        <w:rPr>
          <w:rFonts w:eastAsia="仿宋"/>
        </w:rPr>
      </w:pPr>
      <w:r>
        <w:rPr>
          <w:rFonts w:hint="eastAsia" w:ascii="仿宋" w:hAnsi="仿宋" w:eastAsia="仿宋" w:cs="仿宋"/>
          <w:sz w:val="28"/>
          <w:szCs w:val="28"/>
        </w:rPr>
        <w:t>（四）响应供应商应严格遵守楚雄市及学校疫情防控要求。</w:t>
      </w:r>
    </w:p>
    <w:p>
      <w:pPr>
        <w:spacing w:line="460" w:lineRule="exact"/>
        <w:rPr>
          <w:rFonts w:ascii="仿宋" w:hAnsi="仿宋" w:eastAsia="仿宋" w:cs="仿宋"/>
          <w:kern w:val="0"/>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w:t>
      </w:r>
      <w:r>
        <w:rPr>
          <w:rFonts w:hint="eastAsia" w:ascii="仿宋" w:hAnsi="仿宋" w:eastAsia="仿宋" w:cs="仿宋"/>
          <w:kern w:val="0"/>
          <w:sz w:val="28"/>
          <w:szCs w:val="28"/>
        </w:rPr>
        <w:t>谈判保证金：</w:t>
      </w:r>
    </w:p>
    <w:p>
      <w:p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sz w:val="28"/>
          <w:szCs w:val="28"/>
        </w:rPr>
        <w:t>保证金的形式：现金，保证金的金额</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rPr>
        <w:t>5000.00（大写：人民币伍仟元整）。请自备信封，当场清点密封后递交。未成交供应商的保证金在评标结束后当场退还，成交供应商的保证金在合同签订后无息退还。未提交保证金不得参加本项目谈判。</w:t>
      </w:r>
    </w:p>
    <w:p>
      <w:pPr>
        <w:spacing w:line="460" w:lineRule="exact"/>
        <w:rPr>
          <w:rFonts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、对本次招标提出询问，请按以下方式联系。</w:t>
      </w:r>
      <w:bookmarkEnd w:id="37"/>
      <w:bookmarkEnd w:id="38"/>
      <w:bookmarkEnd w:id="39"/>
      <w:bookmarkEnd w:id="40"/>
      <w:bookmarkEnd w:id="41"/>
      <w:bookmarkEnd w:id="42"/>
    </w:p>
    <w:p>
      <w:pPr>
        <w:spacing w:line="460" w:lineRule="exact"/>
        <w:ind w:firstLine="560" w:firstLineChars="200"/>
        <w:rPr>
          <w:rFonts w:ascii="仿宋" w:hAnsi="仿宋" w:eastAsia="仿宋" w:cs="仿宋"/>
          <w:sz w:val="28"/>
          <w:szCs w:val="28"/>
        </w:rPr>
      </w:pPr>
      <w:bookmarkStart w:id="43" w:name="_Toc26790_WPSOffice_Level3"/>
      <w:r>
        <w:rPr>
          <w:rFonts w:hint="eastAsia" w:ascii="仿宋" w:hAnsi="仿宋" w:eastAsia="仿宋" w:cs="仿宋"/>
          <w:sz w:val="28"/>
          <w:szCs w:val="28"/>
        </w:rPr>
        <w:t>采购人信息</w:t>
      </w:r>
      <w:bookmarkEnd w:id="43"/>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名 称：楚雄医药高等专科学校</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地 址：楚雄市东瓜镇  </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联系方式：</w:t>
      </w:r>
      <w:bookmarkStart w:id="44" w:name="_Toc28359009"/>
      <w:bookmarkStart w:id="45" w:name="_Toc28359086"/>
      <w:r>
        <w:rPr>
          <w:rFonts w:hint="eastAsia" w:ascii="仿宋" w:hAnsi="仿宋" w:eastAsia="仿宋" w:cs="仿宋"/>
          <w:sz w:val="28"/>
          <w:szCs w:val="28"/>
        </w:rPr>
        <w:t>0878-3875679</w:t>
      </w:r>
    </w:p>
    <w:bookmarkEnd w:id="44"/>
    <w:bookmarkEnd w:id="45"/>
    <w:p>
      <w:pPr>
        <w:spacing w:line="460" w:lineRule="exact"/>
        <w:ind w:firstLine="560" w:firstLineChars="200"/>
      </w:pPr>
      <w:r>
        <w:rPr>
          <w:rFonts w:hint="eastAsia" w:ascii="仿宋" w:hAnsi="仿宋" w:eastAsia="仿宋" w:cs="仿宋"/>
          <w:sz w:val="28"/>
          <w:szCs w:val="28"/>
          <w:highlight w:val="none"/>
        </w:rPr>
        <w:t xml:space="preserve">联系人：  </w:t>
      </w:r>
      <w:r>
        <w:rPr>
          <w:rFonts w:hint="eastAsia" w:ascii="仿宋" w:hAnsi="仿宋" w:eastAsia="仿宋" w:cs="仿宋"/>
          <w:sz w:val="28"/>
          <w:szCs w:val="28"/>
          <w:highlight w:val="none"/>
          <w:lang w:eastAsia="zh-CN"/>
        </w:rPr>
        <w:t>马</w:t>
      </w:r>
      <w:r>
        <w:rPr>
          <w:rFonts w:hint="eastAsia" w:ascii="仿宋" w:hAnsi="仿宋" w:eastAsia="仿宋" w:cs="仿宋"/>
          <w:sz w:val="28"/>
          <w:szCs w:val="28"/>
          <w:highlight w:val="none"/>
        </w:rPr>
        <w:t xml:space="preserve">老师   </w:t>
      </w:r>
      <w:r>
        <w:rPr>
          <w:rFonts w:ascii="宋体" w:hAnsi="宋体"/>
          <w:sz w:val="24"/>
        </w:rPr>
        <w:br w:type="page"/>
      </w:r>
    </w:p>
    <w:p>
      <w:pPr>
        <w:pStyle w:val="3"/>
        <w:ind w:left="0" w:firstLine="0"/>
        <w:jc w:val="center"/>
        <w:rPr>
          <w:rFonts w:ascii="黑体"/>
          <w:sz w:val="32"/>
          <w:szCs w:val="32"/>
        </w:rPr>
      </w:pPr>
      <w:bookmarkStart w:id="46" w:name="_Toc25948_WPSOffice_Level1"/>
      <w:bookmarkStart w:id="47" w:name="_Toc60996675"/>
      <w:bookmarkStart w:id="48" w:name="_Toc84455569"/>
      <w:bookmarkStart w:id="49" w:name="_第二章__投标人须知"/>
      <w:r>
        <w:rPr>
          <w:rFonts w:hint="eastAsia" w:ascii="黑体"/>
          <w:sz w:val="32"/>
          <w:szCs w:val="32"/>
        </w:rPr>
        <w:t>第二章</w:t>
      </w:r>
      <w:bookmarkEnd w:id="46"/>
      <w:bookmarkEnd w:id="47"/>
      <w:r>
        <w:rPr>
          <w:rFonts w:hint="eastAsia" w:ascii="黑体"/>
          <w:sz w:val="32"/>
          <w:szCs w:val="32"/>
        </w:rPr>
        <w:t xml:space="preserve">   供应商须知</w:t>
      </w:r>
      <w:bookmarkEnd w:id="48"/>
    </w:p>
    <w:p/>
    <w:p>
      <w:pPr>
        <w:pStyle w:val="13"/>
      </w:pPr>
      <w:r>
        <w:rPr>
          <w:rFonts w:hint="eastAsia"/>
        </w:rPr>
        <w:t xml:space="preserve">                            供应商须知前附表</w:t>
      </w:r>
    </w:p>
    <w:tbl>
      <w:tblPr>
        <w:tblStyle w:val="3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709" w:type="dxa"/>
            <w:tcBorders>
              <w:top w:val="thinThickSmallGap" w:color="auto" w:sz="18" w:space="0"/>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序号</w:t>
            </w:r>
          </w:p>
        </w:tc>
        <w:tc>
          <w:tcPr>
            <w:tcW w:w="1843" w:type="dxa"/>
            <w:tcBorders>
              <w:top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项目名称</w:t>
            </w:r>
          </w:p>
        </w:tc>
        <w:tc>
          <w:tcPr>
            <w:tcW w:w="6520" w:type="dxa"/>
            <w:tcBorders>
              <w:top w:val="thinThickSmallGap" w:color="auto" w:sz="18" w:space="0"/>
              <w:right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内　　</w:t>
            </w:r>
            <w:r>
              <w:rPr>
                <w:rFonts w:ascii="宋体" w:hAnsi="宋体" w:cs="宋体"/>
                <w:sz w:val="24"/>
                <w:szCs w:val="24"/>
              </w:rPr>
              <w:t>　　</w:t>
            </w:r>
            <w:r>
              <w:rPr>
                <w:rFonts w:hint="eastAsia" w:ascii="宋体" w:hAnsi="宋体" w:cs="宋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ascii="宋体" w:hAnsi="宋体" w:cs="宋体"/>
                <w:sz w:val="24"/>
                <w:szCs w:val="24"/>
              </w:rPr>
              <w:t>1</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采购单位</w:t>
            </w:r>
          </w:p>
        </w:tc>
        <w:tc>
          <w:tcPr>
            <w:tcW w:w="6520" w:type="dxa"/>
            <w:tcBorders>
              <w:right w:val="thickThinSmallGap" w:color="auto" w:sz="18" w:space="0"/>
            </w:tcBorders>
            <w:noWrap/>
            <w:vAlign w:val="center"/>
          </w:tcPr>
          <w:p>
            <w:pPr>
              <w:adjustRightInd w:val="0"/>
              <w:snapToGrid w:val="0"/>
              <w:spacing w:before="120" w:beforeLines="50" w:line="360" w:lineRule="auto"/>
              <w:rPr>
                <w:rFonts w:ascii="宋体" w:hAnsi="宋体" w:cs="宋体"/>
                <w:sz w:val="24"/>
                <w:highlight w:val="none"/>
              </w:rPr>
            </w:pPr>
            <w:r>
              <w:rPr>
                <w:rFonts w:hint="eastAsia" w:ascii="宋体" w:hAnsi="宋体" w:cs="宋体"/>
                <w:sz w:val="24"/>
                <w:highlight w:val="none"/>
              </w:rPr>
              <w:t>名称：楚雄医药高等专科学校</w:t>
            </w:r>
          </w:p>
          <w:p>
            <w:pPr>
              <w:adjustRightInd w:val="0"/>
              <w:snapToGrid w:val="0"/>
              <w:spacing w:before="120" w:beforeLines="50" w:line="360" w:lineRule="auto"/>
              <w:rPr>
                <w:rFonts w:ascii="宋体" w:hAnsi="宋体" w:cs="宋体"/>
                <w:sz w:val="24"/>
                <w:highlight w:val="none"/>
              </w:rPr>
            </w:pPr>
            <w:r>
              <w:rPr>
                <w:rFonts w:hint="eastAsia" w:ascii="宋体" w:hAnsi="宋体" w:cs="宋体"/>
                <w:sz w:val="24"/>
                <w:highlight w:val="none"/>
              </w:rPr>
              <w:t xml:space="preserve">地址：楚雄市东瓜镇  </w:t>
            </w:r>
          </w:p>
          <w:p>
            <w:pPr>
              <w:adjustRightInd w:val="0"/>
              <w:snapToGrid w:val="0"/>
              <w:spacing w:before="120" w:beforeLines="50" w:line="360" w:lineRule="auto"/>
              <w:rPr>
                <w:rFonts w:ascii="宋体" w:hAnsi="宋体" w:cs="宋体"/>
                <w:sz w:val="24"/>
                <w:highlight w:val="none"/>
              </w:rPr>
            </w:pPr>
            <w:r>
              <w:rPr>
                <w:rFonts w:hint="eastAsia" w:ascii="宋体" w:hAnsi="宋体" w:cs="宋体"/>
                <w:sz w:val="24"/>
                <w:highlight w:val="none"/>
              </w:rPr>
              <w:t>联系方式：0878-3875679</w:t>
            </w:r>
          </w:p>
          <w:p>
            <w:pPr>
              <w:adjustRightInd w:val="0"/>
              <w:snapToGrid w:val="0"/>
              <w:spacing w:before="120" w:beforeLines="50"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马</w:t>
            </w:r>
            <w:r>
              <w:rPr>
                <w:rFonts w:hint="eastAsia" w:ascii="宋体" w:hAnsi="宋体" w:cs="宋体"/>
                <w:sz w:val="24"/>
                <w:highlight w:val="none"/>
              </w:rPr>
              <w:t xml:space="preserve">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ascii="宋体" w:hAnsi="宋体" w:cs="宋体"/>
                <w:sz w:val="24"/>
                <w:szCs w:val="24"/>
              </w:rPr>
              <w:t>2</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采购代理机构</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3</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项目名称</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楚雄医药高等专科学校半自动体外除颤仪（AED）、急救箱、医疗箱采购项目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4</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项目编号</w:t>
            </w:r>
          </w:p>
        </w:tc>
        <w:tc>
          <w:tcPr>
            <w:tcW w:w="6520" w:type="dxa"/>
            <w:tcBorders>
              <w:right w:val="thickThinSmallGap" w:color="auto" w:sz="18" w:space="0"/>
            </w:tcBorders>
            <w:noWrap/>
            <w:vAlign w:val="center"/>
          </w:tcPr>
          <w:p>
            <w:pPr>
              <w:spacing w:line="460" w:lineRule="exact"/>
              <w:rPr>
                <w:rFonts w:ascii="宋体" w:hAnsi="宋体" w:cs="宋体"/>
                <w:sz w:val="24"/>
              </w:rPr>
            </w:pPr>
            <w:r>
              <w:rPr>
                <w:rFonts w:hint="eastAsia" w:ascii="宋体" w:hAnsi="宋体" w:cs="宋体"/>
                <w:sz w:val="24"/>
              </w:rPr>
              <w:t>CZYZC(2021) 1</w:t>
            </w:r>
            <w:r>
              <w:rPr>
                <w:rFonts w:hint="eastAsia" w:ascii="宋体" w:hAnsi="宋体" w:cs="宋体"/>
                <w:sz w:val="24"/>
                <w:lang w:val="en-US" w:eastAsia="zh-CN"/>
              </w:rPr>
              <w:t>5</w:t>
            </w:r>
            <w:r>
              <w:rPr>
                <w:rFonts w:hint="eastAsia" w:ascii="宋体" w:hAnsi="宋体"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5</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采购预算</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本项目的采购预算为15.00万元（大写：壹拾伍万元整），供应商响应文件报价和谈判最后报价不得超过采购预算，否则报价无效。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6</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采购内容</w:t>
            </w:r>
          </w:p>
        </w:tc>
        <w:tc>
          <w:tcPr>
            <w:tcW w:w="6520" w:type="dxa"/>
            <w:tcBorders>
              <w:right w:val="thickThinSmallGap" w:color="auto" w:sz="18" w:space="0"/>
            </w:tcBorders>
            <w:noWrap/>
            <w:vAlign w:val="center"/>
          </w:tcPr>
          <w:p>
            <w:pPr>
              <w:spacing w:line="460" w:lineRule="exact"/>
              <w:jc w:val="left"/>
              <w:rPr>
                <w:rFonts w:ascii="宋体" w:hAnsi="宋体" w:cs="宋体"/>
                <w:sz w:val="24"/>
              </w:rPr>
            </w:pPr>
            <w:r>
              <w:rPr>
                <w:rFonts w:hint="eastAsia" w:ascii="宋体" w:hAnsi="宋体" w:cs="宋体"/>
                <w:sz w:val="24"/>
              </w:rPr>
              <w:t>半自动体外除颤仪（AED）、急救箱、医疗箱一批（具体要求详见谈判文件第五章“技术规格、参数与要求”）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7</w:t>
            </w:r>
          </w:p>
        </w:tc>
        <w:tc>
          <w:tcPr>
            <w:tcW w:w="1843" w:type="dxa"/>
            <w:noWrap/>
            <w:vAlign w:val="center"/>
          </w:tcPr>
          <w:p>
            <w:pPr>
              <w:pStyle w:val="28"/>
              <w:spacing w:line="300" w:lineRule="exact"/>
              <w:ind w:left="0"/>
              <w:jc w:val="center"/>
              <w:rPr>
                <w:rFonts w:ascii="宋体" w:hAnsi="宋体" w:cs="宋体"/>
                <w:kern w:val="2"/>
                <w:sz w:val="24"/>
                <w:szCs w:val="24"/>
              </w:rPr>
            </w:pPr>
            <w:r>
              <w:rPr>
                <w:rFonts w:hint="eastAsia" w:ascii="宋体" w:hAnsi="宋体" w:cs="宋体"/>
                <w:kern w:val="2"/>
                <w:sz w:val="24"/>
                <w:szCs w:val="24"/>
              </w:rPr>
              <w:t>交货期限</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highlight w:val="none"/>
              </w:rPr>
              <w:t>合同签订后30日历天，根据采购方要求送</w:t>
            </w:r>
            <w:r>
              <w:rPr>
                <w:rFonts w:hint="eastAsia" w:ascii="宋体" w:hAnsi="宋体" w:cs="宋体"/>
                <w:sz w:val="24"/>
              </w:rPr>
              <w:t>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8</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供应商资格  要求</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1.基本资格条件：供应商需具备《中华人民共和国政府采购法》第二十二条规定的基本资格条件，并提供以下资格证明文件：</w:t>
            </w:r>
          </w:p>
          <w:p>
            <w:pPr>
              <w:spacing w:line="400" w:lineRule="exact"/>
              <w:rPr>
                <w:rFonts w:ascii="宋体" w:hAnsi="宋体" w:cs="宋体"/>
                <w:sz w:val="24"/>
              </w:rPr>
            </w:pPr>
            <w:r>
              <w:rPr>
                <w:rFonts w:hint="eastAsia" w:ascii="宋体" w:hAnsi="宋体" w:cs="宋体"/>
                <w:sz w:val="24"/>
              </w:rPr>
              <w:t>（1）法人或者其他组织的营业执照等证明文件，自然人的身份证明；</w:t>
            </w:r>
            <w:r>
              <w:rPr>
                <w:rFonts w:hint="eastAsia" w:ascii="宋体" w:hAnsi="宋体" w:cs="宋体"/>
                <w:sz w:val="24"/>
              </w:rPr>
              <w:br w:type="textWrapping"/>
            </w:r>
            <w:r>
              <w:rPr>
                <w:rFonts w:hint="eastAsia" w:ascii="宋体" w:hAnsi="宋体" w:cs="宋体"/>
                <w:sz w:val="24"/>
              </w:rPr>
              <w:t>（2）财务状况报告，依法缴纳税收和社会保障资金的相关材料；</w:t>
            </w:r>
            <w:r>
              <w:rPr>
                <w:rFonts w:hint="eastAsia" w:ascii="宋体" w:hAnsi="宋体" w:cs="宋体"/>
                <w:sz w:val="24"/>
              </w:rPr>
              <w:br w:type="textWrapping"/>
            </w:r>
            <w:r>
              <w:rPr>
                <w:rFonts w:hint="eastAsia" w:ascii="宋体" w:hAnsi="宋体" w:cs="宋体"/>
                <w:sz w:val="24"/>
              </w:rPr>
              <w:t>（3）具备履行合同所必需的设备和专业技术能力的证明材料；</w:t>
            </w:r>
            <w:r>
              <w:rPr>
                <w:rFonts w:hint="eastAsia" w:ascii="宋体" w:hAnsi="宋体" w:cs="宋体"/>
                <w:sz w:val="24"/>
              </w:rPr>
              <w:br w:type="textWrapping"/>
            </w:r>
            <w:r>
              <w:rPr>
                <w:rFonts w:hint="eastAsia" w:ascii="宋体" w:hAnsi="宋体" w:cs="宋体"/>
                <w:sz w:val="24"/>
              </w:rPr>
              <w:t>（4）参加政府采购活动前3年内在经营活动中没有重大违法记录的书面声明；</w:t>
            </w:r>
            <w:r>
              <w:rPr>
                <w:rFonts w:hint="eastAsia" w:ascii="宋体" w:hAnsi="宋体" w:cs="宋体"/>
                <w:sz w:val="24"/>
              </w:rPr>
              <w:br w:type="textWrapping"/>
            </w:r>
            <w:r>
              <w:rPr>
                <w:rFonts w:hint="eastAsia" w:ascii="宋体" w:hAnsi="宋体" w:cs="宋体"/>
                <w:sz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rPr>
            </w:pPr>
          </w:p>
        </w:tc>
        <w:tc>
          <w:tcPr>
            <w:tcW w:w="1843" w:type="dxa"/>
            <w:tcBorders>
              <w:bottom w:val="single" w:color="auto" w:sz="4" w:space="0"/>
            </w:tcBorders>
            <w:noWrap/>
            <w:vAlign w:val="center"/>
          </w:tcPr>
          <w:p>
            <w:pPr>
              <w:pStyle w:val="28"/>
              <w:spacing w:line="300" w:lineRule="exact"/>
              <w:ind w:left="0"/>
              <w:jc w:val="center"/>
              <w:rPr>
                <w:rFonts w:ascii="宋体" w:hAnsi="宋体" w:cs="宋体"/>
                <w:sz w:val="24"/>
                <w:szCs w:val="24"/>
              </w:rPr>
            </w:pPr>
          </w:p>
        </w:tc>
        <w:tc>
          <w:tcPr>
            <w:tcW w:w="6520" w:type="dxa"/>
            <w:tcBorders>
              <w:bottom w:val="single" w:color="auto" w:sz="4" w:space="0"/>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2.特定资格条件：</w:t>
            </w:r>
          </w:p>
          <w:p>
            <w:pPr>
              <w:spacing w:line="400" w:lineRule="exact"/>
              <w:rPr>
                <w:rFonts w:ascii="宋体" w:hAnsi="宋体" w:cs="宋体"/>
                <w:sz w:val="24"/>
              </w:rPr>
            </w:pPr>
            <w:r>
              <w:rPr>
                <w:rFonts w:hint="eastAsia" w:ascii="宋体" w:hAnsi="宋体" w:cs="宋体"/>
                <w:sz w:val="24"/>
              </w:rPr>
              <w:t>2.1投标人具有医疗器械经营企业许可证或经营备案凭证（若投标人为所投产品的制造商则具有医疗器械生产企业许可证），并有相应经营或生产范围（提供相对应许可证）。</w:t>
            </w:r>
          </w:p>
          <w:p>
            <w:pPr>
              <w:spacing w:line="400" w:lineRule="exact"/>
              <w:rPr>
                <w:rFonts w:ascii="宋体" w:hAnsi="宋体" w:cs="宋体"/>
                <w:sz w:val="24"/>
              </w:rPr>
            </w:pPr>
            <w:r>
              <w:rPr>
                <w:rFonts w:hint="eastAsia" w:ascii="宋体" w:hAnsi="宋体" w:cs="宋体"/>
                <w:sz w:val="24"/>
              </w:rPr>
              <w:t>2.2供应商在投标截止时间前未被列入“信用中国”网站（www.creditchina.gov.cn）失信被执行人、重大税收违法案件当事人名单、政府采购严重违法失信行为记录名单，供应商须提供查询结果网页截图和承诺函。若为失信企业，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9</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联合体投标</w:t>
            </w:r>
          </w:p>
        </w:tc>
        <w:tc>
          <w:tcPr>
            <w:tcW w:w="6520" w:type="dxa"/>
            <w:tcBorders>
              <w:top w:val="single" w:color="auto" w:sz="4" w:space="0"/>
              <w:bottom w:val="thickThinSmallGap" w:color="auto" w:sz="18" w:space="0"/>
              <w:right w:val="thickThinSmallGap" w:color="auto" w:sz="18" w:space="0"/>
            </w:tcBorders>
            <w:noWrap/>
            <w:vAlign w:val="center"/>
          </w:tcPr>
          <w:p>
            <w:pPr>
              <w:pStyle w:val="28"/>
              <w:spacing w:line="300" w:lineRule="exact"/>
              <w:ind w:left="0"/>
              <w:jc w:val="left"/>
              <w:rPr>
                <w:rFonts w:ascii="宋体" w:hAnsi="宋体" w:cs="宋体"/>
                <w:sz w:val="24"/>
                <w:szCs w:val="24"/>
              </w:rPr>
            </w:pPr>
            <w:r>
              <w:rPr>
                <w:rFonts w:hint="eastAsia" w:ascii="宋体" w:hAnsi="宋体" w:cs="宋体"/>
                <w:sz w:val="24"/>
                <w:szCs w:val="24"/>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10</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现场踏勘</w:t>
            </w:r>
          </w:p>
        </w:tc>
        <w:tc>
          <w:tcPr>
            <w:tcW w:w="6520" w:type="dxa"/>
            <w:tcBorders>
              <w:top w:val="single" w:color="auto" w:sz="4" w:space="0"/>
              <w:bottom w:val="thickThinSmallGap" w:color="auto" w:sz="18" w:space="0"/>
              <w:right w:val="thickThinSmallGap" w:color="auto" w:sz="18" w:space="0"/>
            </w:tcBorders>
            <w:noWrap/>
            <w:vAlign w:val="center"/>
          </w:tcPr>
          <w:p>
            <w:pPr>
              <w:pStyle w:val="28"/>
              <w:spacing w:line="300" w:lineRule="exact"/>
              <w:ind w:left="0"/>
              <w:jc w:val="left"/>
              <w:rPr>
                <w:rFonts w:ascii="宋体" w:hAnsi="宋体" w:cs="宋体"/>
                <w:sz w:val="24"/>
                <w:szCs w:val="24"/>
              </w:rPr>
            </w:pPr>
            <w:r>
              <w:rPr>
                <w:rFonts w:hint="eastAsia" w:ascii="宋体" w:hAnsi="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2"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11</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b/>
                <w:bCs/>
                <w:sz w:val="24"/>
                <w:szCs w:val="24"/>
              </w:rPr>
              <w:t>样品</w:t>
            </w:r>
          </w:p>
        </w:tc>
        <w:tc>
          <w:tcPr>
            <w:tcW w:w="6520" w:type="dxa"/>
            <w:tcBorders>
              <w:top w:val="single" w:color="auto" w:sz="4" w:space="0"/>
              <w:bottom w:val="thickThinSmallGap" w:color="auto" w:sz="18" w:space="0"/>
              <w:right w:val="thickThinSmallGap" w:color="auto" w:sz="18" w:space="0"/>
            </w:tcBorders>
            <w:noWrap/>
            <w:vAlign w:val="center"/>
          </w:tcPr>
          <w:p>
            <w:pPr>
              <w:pStyle w:val="28"/>
              <w:spacing w:line="300" w:lineRule="exact"/>
              <w:ind w:left="0"/>
              <w:jc w:val="left"/>
              <w:rPr>
                <w:rFonts w:ascii="宋体" w:hAnsi="宋体" w:cs="宋体"/>
                <w:sz w:val="24"/>
                <w:szCs w:val="24"/>
              </w:rPr>
            </w:pPr>
            <w:r>
              <w:rPr>
                <w:rFonts w:hint="eastAsia" w:ascii="宋体" w:hAnsi="宋体" w:cs="宋体"/>
                <w:b/>
                <w:bCs/>
                <w:sz w:val="24"/>
                <w:szCs w:val="24"/>
              </w:rPr>
              <w:t>供应商须携带急救箱、医疗箱及箱内样品1份（应包含配置清单中所列所有产品），两个箱内相同物品只需提供1份样品。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2"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12</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一般条款允许偏离的最高项数</w:t>
            </w:r>
          </w:p>
        </w:tc>
        <w:tc>
          <w:tcPr>
            <w:tcW w:w="6520" w:type="dxa"/>
            <w:tcBorders>
              <w:top w:val="single" w:color="auto" w:sz="4" w:space="0"/>
              <w:bottom w:val="thickThinSmallGap" w:color="auto" w:sz="18" w:space="0"/>
              <w:right w:val="thickThinSmallGap" w:color="auto" w:sz="18" w:space="0"/>
            </w:tcBorders>
            <w:noWrap/>
            <w:vAlign w:val="center"/>
          </w:tcPr>
          <w:p>
            <w:pPr>
              <w:adjustRightInd w:val="0"/>
              <w:snapToGrid w:val="0"/>
              <w:spacing w:before="120" w:beforeLines="50" w:line="360" w:lineRule="auto"/>
              <w:jc w:val="left"/>
              <w:rPr>
                <w:rFonts w:ascii="宋体" w:hAnsi="宋体" w:cs="宋体"/>
                <w:kern w:val="0"/>
                <w:sz w:val="24"/>
              </w:rPr>
            </w:pPr>
            <w:r>
              <w:rPr>
                <w:rFonts w:hint="eastAsia" w:ascii="宋体" w:hAnsi="宋体" w:cs="宋体"/>
                <w:kern w:val="0"/>
                <w:sz w:val="24"/>
              </w:rPr>
              <w:t xml:space="preserve">一般商务和技术条款（参数），偏离项数之和≤ </w:t>
            </w:r>
            <w:r>
              <w:rPr>
                <w:rFonts w:hint="eastAsia" w:ascii="宋体" w:hAnsi="宋体" w:cs="宋体"/>
                <w:kern w:val="0"/>
                <w:sz w:val="24"/>
                <w:u w:val="single"/>
              </w:rPr>
              <w:t xml:space="preserve"> 0 </w:t>
            </w:r>
            <w:r>
              <w:rPr>
                <w:rFonts w:hint="eastAsia" w:ascii="宋体" w:hAnsi="宋体" w:cs="宋体"/>
                <w:kern w:val="0"/>
                <w:sz w:val="24"/>
              </w:rPr>
              <w:t>项，否则将导致无效谈判。</w:t>
            </w:r>
          </w:p>
          <w:p>
            <w:pPr>
              <w:pStyle w:val="28"/>
              <w:spacing w:line="300" w:lineRule="exact"/>
              <w:ind w:left="0"/>
              <w:jc w:val="left"/>
              <w:rPr>
                <w:rFonts w:ascii="宋体" w:hAnsi="宋体" w:cs="宋体"/>
                <w:sz w:val="24"/>
                <w:szCs w:val="24"/>
              </w:rPr>
            </w:pPr>
            <w:r>
              <w:rPr>
                <w:rFonts w:hint="eastAsia" w:ascii="宋体" w:hAnsi="宋体" w:cs="宋体"/>
                <w:sz w:val="24"/>
                <w:szCs w:val="24"/>
              </w:rPr>
              <w:t>（条款数（最高项数）的统计方法：相同内容的条款不重复计算项数）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1"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3</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供应商提出问题的截止时间</w:t>
            </w:r>
          </w:p>
        </w:tc>
        <w:tc>
          <w:tcPr>
            <w:tcW w:w="6520" w:type="dxa"/>
            <w:tcBorders>
              <w:top w:val="single" w:color="auto" w:sz="4" w:space="0"/>
              <w:bottom w:val="thickThinSmallGap" w:color="auto" w:sz="18" w:space="0"/>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lang w:eastAsia="zh-CN"/>
              </w:rPr>
              <w:t>2021年10月</w:t>
            </w: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 xml:space="preserve"> 日17：00时前，所有获取了谈判文件的潜在供应商以书面的形式向学校中心提问。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 w:hRule="atLeast"/>
        </w:trPr>
        <w:tc>
          <w:tcPr>
            <w:tcW w:w="709" w:type="dxa"/>
            <w:tcBorders>
              <w:top w:val="thinThickSmallGap" w:color="auto" w:sz="18" w:space="0"/>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14</w:t>
            </w:r>
          </w:p>
        </w:tc>
        <w:tc>
          <w:tcPr>
            <w:tcW w:w="1843" w:type="dxa"/>
            <w:tcBorders>
              <w:top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谈判文件澄清截止时间</w:t>
            </w:r>
          </w:p>
        </w:tc>
        <w:tc>
          <w:tcPr>
            <w:tcW w:w="6520" w:type="dxa"/>
            <w:tcBorders>
              <w:top w:val="thinThickSmallGap" w:color="auto" w:sz="18" w:space="0"/>
              <w:bottom w:val="single" w:color="auto" w:sz="4" w:space="0"/>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lang w:eastAsia="zh-CN"/>
              </w:rPr>
              <w:t>2021年10月</w:t>
            </w:r>
            <w:r>
              <w:rPr>
                <w:rFonts w:hint="eastAsia" w:ascii="宋体" w:hAnsi="宋体" w:cs="宋体"/>
                <w:sz w:val="24"/>
              </w:rPr>
              <w:t xml:space="preserve"> 1</w:t>
            </w:r>
            <w:r>
              <w:rPr>
                <w:rFonts w:hint="eastAsia" w:ascii="宋体" w:hAnsi="宋体" w:cs="宋体"/>
                <w:sz w:val="24"/>
                <w:lang w:val="en-US" w:eastAsia="zh-CN"/>
              </w:rPr>
              <w:t>4</w:t>
            </w:r>
            <w:r>
              <w:rPr>
                <w:rFonts w:hint="eastAsia" w:ascii="宋体" w:hAnsi="宋体" w:cs="宋体"/>
                <w:sz w:val="24"/>
              </w:rPr>
              <w:t>日18：00时前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709" w:type="dxa"/>
            <w:tcBorders>
              <w:top w:val="single" w:color="auto" w:sz="4" w:space="0"/>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15</w:t>
            </w:r>
          </w:p>
        </w:tc>
        <w:tc>
          <w:tcPr>
            <w:tcW w:w="1843" w:type="dxa"/>
            <w:tcBorders>
              <w:top w:val="single" w:color="auto" w:sz="4" w:space="0"/>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构成谈判文件的其他资料</w:t>
            </w:r>
          </w:p>
        </w:tc>
        <w:tc>
          <w:tcPr>
            <w:tcW w:w="6520" w:type="dxa"/>
            <w:tcBorders>
              <w:top w:val="single" w:color="auto" w:sz="4" w:space="0"/>
              <w:bottom w:val="single" w:color="auto" w:sz="4" w:space="0"/>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谈判文件的澄清或修改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16</w:t>
            </w:r>
          </w:p>
        </w:tc>
        <w:tc>
          <w:tcPr>
            <w:tcW w:w="1843" w:type="dxa"/>
            <w:tcBorders>
              <w:top w:val="single" w:color="auto" w:sz="4" w:space="0"/>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投标有效期</w:t>
            </w:r>
          </w:p>
        </w:tc>
        <w:tc>
          <w:tcPr>
            <w:tcW w:w="6520" w:type="dxa"/>
            <w:tcBorders>
              <w:top w:val="single" w:color="auto" w:sz="4" w:space="0"/>
              <w:bottom w:val="single" w:color="auto" w:sz="4" w:space="0"/>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60日历天（从提交首次响应文件截止时间之日起计算）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17</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谈判保证金</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详见谈判公告第七条“其他补充事宜”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09" w:type="dxa"/>
            <w:tcBorders>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18</w:t>
            </w:r>
          </w:p>
        </w:tc>
        <w:tc>
          <w:tcPr>
            <w:tcW w:w="1843" w:type="dxa"/>
            <w:tcBorders>
              <w:bottom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签字和盖章要求</w:t>
            </w:r>
          </w:p>
        </w:tc>
        <w:tc>
          <w:tcPr>
            <w:tcW w:w="6520" w:type="dxa"/>
            <w:tcBorders>
              <w:bottom w:val="single" w:color="auto" w:sz="4" w:space="0"/>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按照谈判文件格式在需要盖单位章或签字的地方进行签章和签名。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1" w:hRule="atLeast"/>
        </w:trPr>
        <w:tc>
          <w:tcPr>
            <w:tcW w:w="709" w:type="dxa"/>
            <w:tcBorders>
              <w:top w:val="single" w:color="auto" w:sz="4" w:space="0"/>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19</w:t>
            </w:r>
          </w:p>
        </w:tc>
        <w:tc>
          <w:tcPr>
            <w:tcW w:w="1843" w:type="dxa"/>
            <w:tcBorders>
              <w:top w:val="single"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响应文件份数</w:t>
            </w:r>
          </w:p>
        </w:tc>
        <w:tc>
          <w:tcPr>
            <w:tcW w:w="6520" w:type="dxa"/>
            <w:tcBorders>
              <w:top w:val="single" w:color="auto" w:sz="4" w:space="0"/>
              <w:right w:val="thickThinSmallGap" w:color="auto" w:sz="18" w:space="0"/>
            </w:tcBorders>
            <w:noWrap/>
            <w:vAlign w:val="center"/>
          </w:tcPr>
          <w:p>
            <w:pPr>
              <w:spacing w:line="400" w:lineRule="exact"/>
              <w:rPr>
                <w:rFonts w:ascii="宋体" w:hAnsi="宋体" w:cs="宋体"/>
                <w:sz w:val="24"/>
              </w:rPr>
            </w:pPr>
            <w:r>
              <w:rPr>
                <w:rFonts w:hint="eastAsia" w:ascii="宋体" w:hAnsi="宋体"/>
                <w:sz w:val="24"/>
              </w:rPr>
              <w:t>纸质响应文件一正一副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 w:hRule="atLeast"/>
        </w:trPr>
        <w:tc>
          <w:tcPr>
            <w:tcW w:w="709" w:type="dxa"/>
            <w:tcBorders>
              <w:top w:val="dotted" w:color="auto" w:sz="4" w:space="0"/>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20</w:t>
            </w:r>
          </w:p>
        </w:tc>
        <w:tc>
          <w:tcPr>
            <w:tcW w:w="1843" w:type="dxa"/>
            <w:tcBorders>
              <w:top w:val="dotted" w:color="auto" w:sz="4"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提交响应文件</w:t>
            </w:r>
          </w:p>
          <w:p>
            <w:pPr>
              <w:pStyle w:val="28"/>
              <w:spacing w:line="300" w:lineRule="exact"/>
              <w:ind w:left="0"/>
              <w:jc w:val="center"/>
              <w:rPr>
                <w:rFonts w:ascii="宋体" w:hAnsi="宋体" w:cs="宋体"/>
                <w:sz w:val="24"/>
                <w:szCs w:val="24"/>
              </w:rPr>
            </w:pPr>
            <w:r>
              <w:rPr>
                <w:rFonts w:hint="eastAsia" w:ascii="宋体" w:hAnsi="宋体" w:cs="宋体"/>
                <w:sz w:val="24"/>
                <w:szCs w:val="24"/>
              </w:rPr>
              <w:t>递交及截止时间</w:t>
            </w:r>
          </w:p>
        </w:tc>
        <w:tc>
          <w:tcPr>
            <w:tcW w:w="6520" w:type="dxa"/>
            <w:tcBorders>
              <w:top w:val="dotted" w:color="auto" w:sz="4"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响应文件递交时间：2021年7月1</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:00时至</w:t>
            </w:r>
            <w:r>
              <w:rPr>
                <w:rFonts w:hint="eastAsia" w:ascii="宋体" w:hAnsi="宋体" w:cs="宋体"/>
                <w:sz w:val="24"/>
                <w:highlight w:val="none"/>
                <w:lang w:val="en-US" w:eastAsia="zh-CN"/>
              </w:rPr>
              <w:t>9</w:t>
            </w:r>
            <w:r>
              <w:rPr>
                <w:rFonts w:hint="eastAsia" w:ascii="宋体" w:hAnsi="宋体" w:cs="宋体"/>
                <w:sz w:val="24"/>
                <w:highlight w:val="none"/>
              </w:rPr>
              <w:t>:30时(北京时间)</w:t>
            </w:r>
          </w:p>
          <w:p>
            <w:pPr>
              <w:spacing w:line="400" w:lineRule="exact"/>
              <w:rPr>
                <w:rFonts w:ascii="宋体" w:hAnsi="宋体" w:cs="宋体"/>
                <w:sz w:val="24"/>
                <w:highlight w:val="none"/>
              </w:rPr>
            </w:pPr>
            <w:r>
              <w:rPr>
                <w:rFonts w:hint="eastAsia" w:ascii="宋体" w:hAnsi="宋体" w:cs="宋体"/>
                <w:sz w:val="24"/>
                <w:highlight w:val="none"/>
              </w:rPr>
              <w:t>响应文件截止时间：2</w:t>
            </w:r>
            <w:r>
              <w:rPr>
                <w:rFonts w:ascii="宋体" w:hAnsi="宋体" w:cs="宋体"/>
                <w:sz w:val="24"/>
                <w:highlight w:val="none"/>
              </w:rPr>
              <w:t>02</w:t>
            </w:r>
            <w:r>
              <w:rPr>
                <w:rFonts w:hint="eastAsia" w:ascii="宋体" w:hAnsi="宋体" w:cs="宋体"/>
                <w:sz w:val="24"/>
                <w:highlight w:val="none"/>
              </w:rPr>
              <w:t>1年7月1</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21</w:t>
            </w:r>
          </w:p>
        </w:tc>
        <w:tc>
          <w:tcPr>
            <w:tcW w:w="1843" w:type="dxa"/>
            <w:noWrap/>
            <w:vAlign w:val="center"/>
          </w:tcPr>
          <w:p>
            <w:pPr>
              <w:pStyle w:val="28"/>
              <w:spacing w:line="300" w:lineRule="exact"/>
              <w:ind w:left="0"/>
              <w:jc w:val="center"/>
              <w:rPr>
                <w:rFonts w:ascii="宋体" w:hAnsi="宋体" w:cs="宋体"/>
                <w:kern w:val="2"/>
                <w:sz w:val="24"/>
                <w:szCs w:val="24"/>
              </w:rPr>
            </w:pPr>
            <w:r>
              <w:rPr>
                <w:rFonts w:hint="eastAsia" w:ascii="宋体" w:hAnsi="宋体" w:cs="宋体"/>
                <w:kern w:val="2"/>
                <w:sz w:val="24"/>
                <w:szCs w:val="24"/>
              </w:rPr>
              <w:t>响应文件开启地点</w:t>
            </w:r>
          </w:p>
        </w:tc>
        <w:tc>
          <w:tcPr>
            <w:tcW w:w="6520" w:type="dxa"/>
            <w:tcBorders>
              <w:right w:val="thickThinSmallGap" w:color="auto" w:sz="18" w:space="0"/>
            </w:tcBorders>
            <w:noWrap/>
            <w:vAlign w:val="center"/>
          </w:tcPr>
          <w:p>
            <w:pPr>
              <w:spacing w:line="460" w:lineRule="exact"/>
              <w:rPr>
                <w:rFonts w:ascii="宋体" w:hAnsi="宋体" w:cs="宋体"/>
                <w:sz w:val="24"/>
              </w:rPr>
            </w:pPr>
            <w:r>
              <w:rPr>
                <w:rFonts w:hint="eastAsia" w:ascii="宋体" w:hAnsi="宋体" w:cs="宋体"/>
                <w:sz w:val="24"/>
              </w:rPr>
              <w:t>楚雄医药高等专科学校远志楼8楼保卫处会议室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6"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22</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谈判小组</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谈判小组的构成：3人及以上单数。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2"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24</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评审方法</w:t>
            </w:r>
          </w:p>
        </w:tc>
        <w:tc>
          <w:tcPr>
            <w:tcW w:w="6520" w:type="dxa"/>
            <w:tcBorders>
              <w:right w:val="thickThinSmallGap" w:color="auto" w:sz="18" w:space="0"/>
            </w:tcBorders>
            <w:noWrap/>
            <w:vAlign w:val="center"/>
          </w:tcPr>
          <w:p>
            <w:pPr>
              <w:spacing w:line="400" w:lineRule="exact"/>
              <w:rPr>
                <w:rFonts w:ascii="宋体" w:hAnsi="宋体" w:cs="宋体"/>
                <w:sz w:val="24"/>
              </w:rPr>
            </w:pPr>
            <w:r>
              <w:rPr>
                <w:rFonts w:hint="eastAsia" w:ascii="宋体" w:hAnsi="宋体" w:cs="宋体"/>
                <w:sz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25</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推荐的成交候选人数量</w:t>
            </w:r>
          </w:p>
        </w:tc>
        <w:tc>
          <w:tcPr>
            <w:tcW w:w="6520" w:type="dxa"/>
            <w:tcBorders>
              <w:right w:val="thickThinSmallGap" w:color="auto" w:sz="18" w:space="0"/>
            </w:tcBorders>
            <w:noWrap/>
            <w:vAlign w:val="center"/>
          </w:tcPr>
          <w:p>
            <w:pPr>
              <w:pStyle w:val="28"/>
              <w:spacing w:line="300" w:lineRule="exact"/>
              <w:ind w:left="0"/>
              <w:rPr>
                <w:rFonts w:ascii="宋体" w:hAnsi="宋体" w:cs="宋体"/>
                <w:sz w:val="24"/>
                <w:szCs w:val="24"/>
              </w:rPr>
            </w:pPr>
            <w:r>
              <w:rPr>
                <w:rFonts w:hint="eastAsia" w:ascii="宋体" w:hAnsi="宋体" w:cs="宋体"/>
                <w:sz w:val="24"/>
                <w:szCs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26</w:t>
            </w:r>
          </w:p>
        </w:tc>
        <w:tc>
          <w:tcPr>
            <w:tcW w:w="1843" w:type="dxa"/>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履约保证金</w:t>
            </w:r>
          </w:p>
        </w:tc>
        <w:tc>
          <w:tcPr>
            <w:tcW w:w="6520" w:type="dxa"/>
            <w:tcBorders>
              <w:right w:val="thickThinSmallGap" w:color="auto" w:sz="18" w:space="0"/>
            </w:tcBorders>
            <w:noWrap/>
            <w:vAlign w:val="center"/>
          </w:tcPr>
          <w:p>
            <w:pPr>
              <w:pStyle w:val="17"/>
              <w:rPr>
                <w:rFonts w:hAnsi="宋体" w:cs="宋体"/>
                <w:kern w:val="0"/>
                <w:sz w:val="24"/>
                <w:szCs w:val="24"/>
              </w:rPr>
            </w:pPr>
            <w:r>
              <w:rPr>
                <w:rFonts w:hint="eastAsia" w:hAnsi="宋体" w:cs="宋体"/>
                <w:kern w:val="0"/>
                <w:sz w:val="24"/>
                <w:szCs w:val="24"/>
              </w:rPr>
              <w:t>合同签订之前，供应商按合同金额的3</w:t>
            </w:r>
            <w:r>
              <w:rPr>
                <w:rFonts w:hAnsi="宋体" w:cs="宋体"/>
                <w:kern w:val="0"/>
                <w:sz w:val="24"/>
                <w:szCs w:val="24"/>
              </w:rPr>
              <w:t>%</w:t>
            </w:r>
            <w:r>
              <w:rPr>
                <w:rFonts w:hint="eastAsia" w:hAnsi="宋体" w:cs="宋体"/>
                <w:kern w:val="0"/>
                <w:sz w:val="24"/>
                <w:szCs w:val="24"/>
              </w:rPr>
              <w:t>向采购人交纳履约保证金，履约保证金在供应商按合同约定交货验收合格后转为质量保证金，满3年后在</w:t>
            </w:r>
            <w:r>
              <w:rPr>
                <w:rFonts w:hAnsi="宋体" w:cs="宋体"/>
                <w:kern w:val="0"/>
                <w:sz w:val="24"/>
                <w:szCs w:val="24"/>
              </w:rPr>
              <w:t>20</w:t>
            </w:r>
            <w:r>
              <w:rPr>
                <w:rFonts w:hint="eastAsia" w:hAnsi="宋体" w:cs="宋体"/>
                <w:kern w:val="0"/>
                <w:sz w:val="24"/>
                <w:szCs w:val="24"/>
              </w:rPr>
              <w:t>个工作日内甲方一次性无息退还乙方。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9" w:type="dxa"/>
            <w:tcBorders>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28</w:t>
            </w:r>
          </w:p>
        </w:tc>
        <w:tc>
          <w:tcPr>
            <w:tcW w:w="1843" w:type="dxa"/>
            <w:tcBorders>
              <w:bottom w:val="thickThinSmallGap" w:color="auto" w:sz="18" w:space="0"/>
            </w:tcBorders>
            <w:noWrap/>
            <w:vAlign w:val="center"/>
          </w:tcPr>
          <w:p>
            <w:pPr>
              <w:pStyle w:val="28"/>
              <w:spacing w:line="300" w:lineRule="exact"/>
              <w:ind w:left="0"/>
              <w:jc w:val="center"/>
              <w:rPr>
                <w:rFonts w:ascii="宋体" w:hAnsi="宋体" w:cs="宋体"/>
                <w:sz w:val="24"/>
                <w:szCs w:val="24"/>
              </w:rPr>
            </w:pPr>
            <w:r>
              <w:rPr>
                <w:rFonts w:hint="eastAsia" w:ascii="宋体" w:hAnsi="宋体" w:cs="宋体"/>
                <w:sz w:val="24"/>
                <w:szCs w:val="24"/>
              </w:rPr>
              <w:t>其他要求</w:t>
            </w:r>
          </w:p>
        </w:tc>
        <w:tc>
          <w:tcPr>
            <w:tcW w:w="6520" w:type="dxa"/>
            <w:tcBorders>
              <w:bottom w:val="thickThinSmallGap" w:color="auto" w:sz="18" w:space="0"/>
              <w:right w:val="thickThinSmallGap" w:color="auto" w:sz="18" w:space="0"/>
            </w:tcBorders>
            <w:noWrap/>
          </w:tcPr>
          <w:p>
            <w:pPr>
              <w:spacing w:line="400" w:lineRule="exact"/>
              <w:rPr>
                <w:rFonts w:ascii="宋体" w:hAnsi="宋体" w:cs="宋体"/>
                <w:sz w:val="24"/>
              </w:rPr>
            </w:pPr>
            <w:r>
              <w:rPr>
                <w:rFonts w:hint="eastAsia" w:ascii="宋体" w:hAnsi="宋体" w:cs="宋体"/>
                <w:sz w:val="24"/>
              </w:rPr>
              <w:t>无</w:t>
            </w:r>
          </w:p>
        </w:tc>
      </w:tr>
    </w:tbl>
    <w:p/>
    <w:bookmarkEnd w:id="49"/>
    <w:p>
      <w:pPr>
        <w:pStyle w:val="4"/>
        <w:spacing w:before="0" w:line="240" w:lineRule="atLeast"/>
        <w:ind w:left="0" w:firstLine="562" w:firstLineChars="200"/>
        <w:rPr>
          <w:rFonts w:ascii="黑体"/>
          <w:szCs w:val="28"/>
        </w:rPr>
      </w:pPr>
      <w:bookmarkStart w:id="50" w:name="__x000F_一、总__则"/>
      <w:r>
        <w:rPr>
          <w:szCs w:val="21"/>
        </w:rPr>
        <w:br w:type="page"/>
      </w:r>
      <w:bookmarkStart w:id="51" w:name="_Toc84455570"/>
      <w:bookmarkStart w:id="52" w:name="_Toc60996677"/>
      <w:bookmarkStart w:id="53" w:name="_Toc9300_WPSOffice_Level1"/>
      <w:bookmarkStart w:id="54" w:name="_Toc25948_WPSOffice_Level2"/>
      <w:bookmarkStart w:id="55" w:name="_Toc24244_WPSOffice_Level1"/>
      <w:r>
        <w:rPr>
          <w:rFonts w:hint="eastAsia" w:ascii="宋体" w:hAnsi="宋体" w:eastAsia="宋体"/>
          <w:sz w:val="24"/>
          <w:szCs w:val="24"/>
        </w:rPr>
        <w:t>一、总则</w:t>
      </w:r>
      <w:bookmarkEnd w:id="51"/>
      <w:bookmarkEnd w:id="52"/>
      <w:bookmarkEnd w:id="53"/>
      <w:bookmarkEnd w:id="54"/>
      <w:bookmarkEnd w:id="55"/>
    </w:p>
    <w:bookmarkEnd w:id="50"/>
    <w:p>
      <w:pPr>
        <w:spacing w:line="460" w:lineRule="exact"/>
        <w:ind w:firstLine="480" w:firstLineChars="200"/>
        <w:rPr>
          <w:rFonts w:ascii="宋体" w:hAnsi="宋体"/>
          <w:sz w:val="24"/>
        </w:rPr>
      </w:pPr>
      <w:bookmarkStart w:id="56" w:name="_Toc28341"/>
      <w:r>
        <w:rPr>
          <w:rFonts w:hint="eastAsia" w:ascii="宋体" w:hAnsi="宋体"/>
          <w:sz w:val="24"/>
        </w:rPr>
        <w:t>1.项目概况</w:t>
      </w:r>
      <w:bookmarkEnd w:id="56"/>
    </w:p>
    <w:p>
      <w:pPr>
        <w:spacing w:line="460" w:lineRule="exact"/>
        <w:ind w:firstLine="480" w:firstLineChars="200"/>
        <w:rPr>
          <w:rFonts w:ascii="宋体" w:hAnsi="宋体"/>
          <w:sz w:val="24"/>
        </w:rPr>
      </w:pPr>
      <w:r>
        <w:rPr>
          <w:rFonts w:hint="eastAsia" w:ascii="宋体" w:hAnsi="宋体"/>
          <w:sz w:val="24"/>
        </w:rPr>
        <w:t>根据《中华人民共和国政府采购法》《政府采购货物和服务招标投标管理办法》（财政部令第</w:t>
      </w:r>
      <w:r>
        <w:rPr>
          <w:rFonts w:ascii="宋体" w:hAnsi="宋体"/>
          <w:sz w:val="24"/>
        </w:rPr>
        <w:t>87</w:t>
      </w:r>
      <w:r>
        <w:rPr>
          <w:rFonts w:hint="eastAsia" w:ascii="宋体" w:hAnsi="宋体"/>
          <w:sz w:val="24"/>
        </w:rPr>
        <w:t>号）等有关法律、法规和规章的规定，本招标项目已具备招标条件，现对本次货物采购进行招标。</w:t>
      </w:r>
    </w:p>
    <w:p>
      <w:pPr>
        <w:spacing w:line="460" w:lineRule="exact"/>
        <w:ind w:firstLine="480" w:firstLineChars="200"/>
        <w:rPr>
          <w:rFonts w:ascii="宋体" w:hAnsi="宋体"/>
          <w:sz w:val="24"/>
        </w:rPr>
      </w:pPr>
      <w:r>
        <w:rPr>
          <w:rFonts w:hint="eastAsia" w:ascii="宋体" w:hAnsi="宋体"/>
          <w:sz w:val="24"/>
        </w:rPr>
        <w:t>2.本项目采购人、采购代理机构、项目名称、项目编号、项目预算及最高限价：见“供应商须知前附表”。</w:t>
      </w:r>
    </w:p>
    <w:p>
      <w:pPr>
        <w:spacing w:line="460" w:lineRule="exact"/>
        <w:ind w:firstLine="480" w:firstLineChars="200"/>
        <w:rPr>
          <w:rFonts w:ascii="宋体" w:hAnsi="宋体"/>
          <w:sz w:val="24"/>
        </w:rPr>
      </w:pPr>
      <w:bookmarkStart w:id="57" w:name="_Toc10402"/>
      <w:bookmarkStart w:id="58" w:name="_Toc468805854"/>
      <w:r>
        <w:rPr>
          <w:rFonts w:hint="eastAsia" w:ascii="宋体" w:hAnsi="宋体"/>
          <w:sz w:val="24"/>
        </w:rPr>
        <w:t>3.采购内容及交货期</w:t>
      </w:r>
      <w:bookmarkEnd w:id="57"/>
    </w:p>
    <w:p>
      <w:pPr>
        <w:spacing w:line="460" w:lineRule="exact"/>
        <w:ind w:firstLine="480" w:firstLineChars="200"/>
        <w:rPr>
          <w:rFonts w:ascii="宋体" w:hAnsi="宋体"/>
          <w:sz w:val="24"/>
        </w:rPr>
      </w:pPr>
      <w:bookmarkStart w:id="59" w:name="_Toc29818_WPSOffice_Level2"/>
      <w:bookmarkStart w:id="60" w:name="_Toc17687_WPSOffice_Level2"/>
      <w:bookmarkStart w:id="61" w:name="_Toc14054_WPSOffice_Level3"/>
      <w:r>
        <w:rPr>
          <w:rFonts w:ascii="宋体" w:hAnsi="宋体"/>
          <w:sz w:val="24"/>
        </w:rPr>
        <w:t xml:space="preserve">3.1 </w:t>
      </w:r>
      <w:r>
        <w:rPr>
          <w:rFonts w:hint="eastAsia" w:ascii="宋体" w:hAnsi="宋体"/>
          <w:sz w:val="24"/>
        </w:rPr>
        <w:t>本项目采购内容：见“供应商须知前附表”。</w:t>
      </w:r>
      <w:bookmarkEnd w:id="59"/>
      <w:bookmarkEnd w:id="60"/>
      <w:bookmarkEnd w:id="61"/>
    </w:p>
    <w:p>
      <w:pPr>
        <w:spacing w:line="460" w:lineRule="exact"/>
        <w:ind w:firstLine="480" w:firstLineChars="200"/>
        <w:rPr>
          <w:rFonts w:ascii="宋体" w:hAnsi="宋体"/>
          <w:sz w:val="24"/>
        </w:rPr>
      </w:pPr>
      <w:bookmarkStart w:id="62" w:name="_Toc20587_WPSOffice_Level3"/>
      <w:bookmarkStart w:id="63" w:name="_Toc23972_WPSOffice_Level2"/>
      <w:bookmarkStart w:id="64" w:name="_Toc22352_WPSOffice_Level2"/>
      <w:r>
        <w:rPr>
          <w:rFonts w:ascii="宋体" w:hAnsi="宋体"/>
          <w:sz w:val="24"/>
        </w:rPr>
        <w:t xml:space="preserve">3.2 </w:t>
      </w:r>
      <w:r>
        <w:rPr>
          <w:rFonts w:hint="eastAsia" w:ascii="宋体" w:hAnsi="宋体"/>
          <w:sz w:val="24"/>
        </w:rPr>
        <w:t>本项目交货期：见“供应商须知前附表”。</w:t>
      </w:r>
      <w:bookmarkEnd w:id="62"/>
      <w:bookmarkEnd w:id="63"/>
      <w:bookmarkEnd w:id="64"/>
    </w:p>
    <w:p>
      <w:pPr>
        <w:spacing w:line="460" w:lineRule="exact"/>
        <w:ind w:firstLine="480" w:firstLineChars="200"/>
        <w:rPr>
          <w:rFonts w:ascii="宋体" w:hAnsi="宋体"/>
          <w:sz w:val="24"/>
        </w:rPr>
      </w:pPr>
      <w:bookmarkStart w:id="65" w:name="_Toc10248"/>
      <w:r>
        <w:rPr>
          <w:rFonts w:hint="eastAsia" w:ascii="宋体" w:hAnsi="宋体"/>
          <w:sz w:val="24"/>
        </w:rPr>
        <w:t>4.供应商资格要求</w:t>
      </w:r>
      <w:bookmarkEnd w:id="65"/>
    </w:p>
    <w:p>
      <w:pPr>
        <w:spacing w:line="460" w:lineRule="exact"/>
        <w:ind w:firstLine="480" w:firstLineChars="200"/>
        <w:rPr>
          <w:rFonts w:ascii="宋体" w:hAnsi="宋体"/>
          <w:sz w:val="24"/>
        </w:rPr>
      </w:pPr>
      <w:r>
        <w:rPr>
          <w:rFonts w:hint="eastAsia" w:ascii="宋体" w:hAnsi="宋体"/>
          <w:sz w:val="24"/>
        </w:rPr>
        <w:t>4</w:t>
      </w:r>
      <w:r>
        <w:rPr>
          <w:rFonts w:ascii="宋体" w:hAnsi="宋体"/>
          <w:sz w:val="24"/>
        </w:rPr>
        <w:t xml:space="preserve">.1 </w:t>
      </w:r>
      <w:r>
        <w:rPr>
          <w:rFonts w:hint="eastAsia" w:ascii="宋体" w:hAnsi="宋体"/>
          <w:sz w:val="24"/>
        </w:rPr>
        <w:t>供应商应当符合《中华人民共和国政府采购法》第二十二条规定的条件。</w:t>
      </w:r>
    </w:p>
    <w:p>
      <w:pPr>
        <w:spacing w:line="460" w:lineRule="exact"/>
        <w:ind w:firstLine="480" w:firstLineChars="200"/>
        <w:rPr>
          <w:rFonts w:ascii="宋体" w:hAnsi="宋体"/>
          <w:sz w:val="24"/>
        </w:rPr>
      </w:pPr>
      <w:r>
        <w:rPr>
          <w:rFonts w:hint="eastAsia" w:ascii="宋体" w:hAnsi="宋体"/>
          <w:sz w:val="24"/>
        </w:rPr>
        <w:t>4</w:t>
      </w:r>
      <w:r>
        <w:rPr>
          <w:rFonts w:ascii="宋体" w:hAnsi="宋体"/>
          <w:sz w:val="24"/>
        </w:rPr>
        <w:t xml:space="preserve">.2 </w:t>
      </w:r>
      <w:r>
        <w:rPr>
          <w:rFonts w:hint="eastAsia" w:ascii="宋体" w:hAnsi="宋体"/>
          <w:sz w:val="24"/>
        </w:rPr>
        <w:t>采购人根据本项目的特殊要求规定供应商应具备的特定条件：</w:t>
      </w:r>
    </w:p>
    <w:p>
      <w:pPr>
        <w:spacing w:line="460" w:lineRule="exact"/>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1供应商在投标截止时间前未被列入“信用中国”网站（www.creditchina.gov.cn）失信被执行人、重大税收违法案件当事人名单、政府采购严重违法失信行为记录名单及中国政府采购网（www.ccgp.gov.cn）“政府采购严重违法失信行为信息记录”，“中国裁判文书网”无行贿犯罪记录（查询结果截图）。</w:t>
      </w:r>
    </w:p>
    <w:p>
      <w:pPr>
        <w:adjustRightInd w:val="0"/>
        <w:snapToGrid w:val="0"/>
        <w:spacing w:before="120" w:beforeLines="50" w:line="360" w:lineRule="auto"/>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2采购项目有特殊要求，响应文件</w:t>
      </w:r>
      <w:r>
        <w:rPr>
          <w:rFonts w:hint="eastAsia" w:ascii="宋体" w:hAnsi="宋体"/>
          <w:sz w:val="24"/>
          <w:lang w:val="zh-CN"/>
        </w:rPr>
        <w:t>规定的</w:t>
      </w:r>
      <w:r>
        <w:rPr>
          <w:rFonts w:hint="eastAsia" w:ascii="宋体" w:hAnsi="宋体"/>
          <w:sz w:val="24"/>
        </w:rPr>
        <w:t>供应商特定资格条件。</w:t>
      </w:r>
    </w:p>
    <w:p>
      <w:pPr>
        <w:spacing w:line="460" w:lineRule="exact"/>
        <w:ind w:firstLine="480" w:firstLineChars="200"/>
        <w:rPr>
          <w:rFonts w:ascii="宋体" w:hAnsi="宋体"/>
          <w:sz w:val="24"/>
        </w:rPr>
      </w:pPr>
      <w:r>
        <w:rPr>
          <w:rFonts w:hint="eastAsia" w:ascii="宋体" w:hAnsi="宋体"/>
          <w:sz w:val="24"/>
        </w:rPr>
        <w:t>4.2.3供应商不得存在下列情形之一：</w:t>
      </w:r>
    </w:p>
    <w:p>
      <w:pPr>
        <w:spacing w:line="460" w:lineRule="exact"/>
        <w:ind w:firstLine="480" w:firstLineChars="200"/>
        <w:rPr>
          <w:rFonts w:ascii="宋体" w:hAnsi="宋体"/>
          <w:sz w:val="24"/>
        </w:rPr>
      </w:pPr>
      <w:bookmarkStart w:id="66" w:name="_Toc17687_WPSOffice_Level3"/>
      <w:bookmarkStart w:id="67" w:name="_Toc29818_WPSOffice_Level3"/>
      <w:r>
        <w:rPr>
          <w:rFonts w:hint="eastAsia" w:ascii="宋体" w:hAnsi="宋体"/>
          <w:sz w:val="24"/>
        </w:rPr>
        <w:t>（l）与采购人或采购代理机构存在隶属关系或者其他利害关系；</w:t>
      </w:r>
      <w:bookmarkEnd w:id="66"/>
      <w:bookmarkEnd w:id="67"/>
    </w:p>
    <w:p>
      <w:pPr>
        <w:spacing w:line="460" w:lineRule="exact"/>
        <w:ind w:firstLine="480" w:firstLineChars="200"/>
        <w:rPr>
          <w:rFonts w:ascii="宋体" w:hAnsi="宋体"/>
          <w:sz w:val="24"/>
        </w:rPr>
      </w:pPr>
      <w:r>
        <w:rPr>
          <w:rFonts w:hint="eastAsia" w:ascii="宋体" w:hAnsi="宋体"/>
          <w:sz w:val="24"/>
        </w:rPr>
        <w:t>（2）供应商或者其法定代表人、董事、监事、高级管理人员因经营活动中的违法行为受到行政处罚，但警告和罚款额在三万元以下的行政处罚除外；</w:t>
      </w:r>
    </w:p>
    <w:p>
      <w:pPr>
        <w:spacing w:line="460" w:lineRule="exact"/>
        <w:ind w:firstLine="480" w:firstLineChars="200"/>
        <w:rPr>
          <w:rFonts w:ascii="宋体" w:hAnsi="宋体"/>
          <w:sz w:val="24"/>
        </w:rPr>
      </w:pPr>
      <w:r>
        <w:rPr>
          <w:rFonts w:hint="eastAsia" w:ascii="宋体" w:hAnsi="宋体"/>
          <w:sz w:val="24"/>
        </w:rPr>
        <w:t>（3）供应商或者其法定代表人、董事、监事、高级管理人员因经营活动中的违法行为受到刑事处罚。</w:t>
      </w:r>
    </w:p>
    <w:p>
      <w:pPr>
        <w:spacing w:line="460" w:lineRule="exact"/>
        <w:ind w:firstLine="480" w:firstLineChars="200"/>
        <w:rPr>
          <w:rFonts w:ascii="宋体" w:hAnsi="宋体"/>
          <w:sz w:val="24"/>
        </w:rPr>
      </w:pPr>
      <w:r>
        <w:rPr>
          <w:rFonts w:hint="eastAsia" w:ascii="宋体" w:hAnsi="宋体"/>
          <w:sz w:val="24"/>
        </w:rPr>
        <w:t>4.3法定代表人或者负责人为同一人或者存在控股、管理关系的两个以上供应商，不得参加同一政府采购项目投标。</w:t>
      </w:r>
    </w:p>
    <w:p>
      <w:pPr>
        <w:spacing w:line="460" w:lineRule="exact"/>
        <w:ind w:firstLine="480" w:firstLineChars="200"/>
        <w:rPr>
          <w:rFonts w:ascii="宋体" w:hAnsi="宋体"/>
          <w:sz w:val="24"/>
        </w:rPr>
      </w:pPr>
      <w:r>
        <w:rPr>
          <w:rFonts w:hint="eastAsia" w:ascii="宋体" w:hAnsi="宋体"/>
          <w:sz w:val="24"/>
        </w:rPr>
        <w:t>5.投标费用</w:t>
      </w:r>
    </w:p>
    <w:p>
      <w:pPr>
        <w:spacing w:line="460" w:lineRule="exact"/>
        <w:ind w:firstLine="480" w:firstLineChars="200"/>
        <w:rPr>
          <w:rFonts w:ascii="宋体" w:hAnsi="宋体"/>
          <w:sz w:val="24"/>
        </w:rPr>
      </w:pPr>
      <w:r>
        <w:rPr>
          <w:rFonts w:hint="eastAsia" w:ascii="宋体" w:hAnsi="宋体"/>
          <w:sz w:val="24"/>
        </w:rPr>
        <w:t>本项目无集采机构不收取任何费用。供应商应自行承担所有参与投标的相关费用，不论投标的结果如何，采购人无义务和责任承担这些费用。</w:t>
      </w:r>
    </w:p>
    <w:p>
      <w:pPr>
        <w:spacing w:line="460" w:lineRule="exact"/>
        <w:ind w:firstLine="480" w:firstLineChars="200"/>
        <w:rPr>
          <w:rFonts w:ascii="宋体" w:hAnsi="宋体"/>
          <w:sz w:val="24"/>
        </w:rPr>
      </w:pPr>
      <w:r>
        <w:rPr>
          <w:rFonts w:hint="eastAsia" w:ascii="宋体" w:hAnsi="宋体"/>
          <w:sz w:val="24"/>
        </w:rPr>
        <w:t>6.联合体投标</w:t>
      </w:r>
    </w:p>
    <w:p>
      <w:pPr>
        <w:spacing w:line="460" w:lineRule="exact"/>
        <w:ind w:firstLine="480" w:firstLineChars="200"/>
        <w:rPr>
          <w:rFonts w:ascii="宋体" w:hAnsi="宋体"/>
          <w:sz w:val="24"/>
        </w:rPr>
      </w:pPr>
      <w:r>
        <w:rPr>
          <w:rFonts w:hint="eastAsia" w:ascii="宋体" w:hAnsi="宋体"/>
          <w:sz w:val="24"/>
        </w:rPr>
        <w:t>本次招标不接受联合体投标。</w:t>
      </w:r>
    </w:p>
    <w:p>
      <w:pPr>
        <w:spacing w:line="460" w:lineRule="exact"/>
        <w:ind w:firstLine="480" w:firstLineChars="200"/>
        <w:rPr>
          <w:rFonts w:ascii="宋体" w:hAnsi="宋体"/>
          <w:sz w:val="24"/>
        </w:rPr>
      </w:pPr>
      <w:r>
        <w:rPr>
          <w:rFonts w:hint="eastAsia" w:ascii="宋体" w:hAnsi="宋体"/>
          <w:sz w:val="24"/>
        </w:rPr>
        <w:t>7.采购进口产品</w:t>
      </w:r>
    </w:p>
    <w:p>
      <w:pPr>
        <w:spacing w:line="460" w:lineRule="exact"/>
        <w:ind w:firstLine="480" w:firstLineChars="200"/>
        <w:rPr>
          <w:rFonts w:ascii="宋体" w:hAnsi="宋体"/>
          <w:sz w:val="24"/>
        </w:rPr>
      </w:pPr>
      <w:r>
        <w:rPr>
          <w:rFonts w:hint="eastAsia" w:ascii="宋体" w:hAnsi="宋体"/>
          <w:sz w:val="24"/>
        </w:rPr>
        <w:t>本采购项目拒绝进口产品参加投标。</w:t>
      </w:r>
    </w:p>
    <w:p>
      <w:pPr>
        <w:spacing w:line="460" w:lineRule="exact"/>
        <w:ind w:firstLine="480" w:firstLineChars="200"/>
        <w:rPr>
          <w:rFonts w:ascii="宋体" w:hAnsi="宋体"/>
          <w:sz w:val="24"/>
        </w:rPr>
      </w:pPr>
      <w:r>
        <w:rPr>
          <w:rFonts w:hint="eastAsia" w:ascii="宋体" w:hAnsi="宋体"/>
          <w:sz w:val="24"/>
        </w:rPr>
        <w:t>8.现场踏勘</w:t>
      </w:r>
    </w:p>
    <w:p>
      <w:pPr>
        <w:spacing w:line="460" w:lineRule="exact"/>
        <w:ind w:firstLine="480" w:firstLineChars="200"/>
        <w:rPr>
          <w:rFonts w:ascii="宋体" w:hAnsi="宋体"/>
          <w:sz w:val="24"/>
        </w:rPr>
      </w:pPr>
      <w:r>
        <w:rPr>
          <w:rFonts w:hint="eastAsia" w:ascii="宋体" w:hAnsi="宋体"/>
          <w:sz w:val="24"/>
        </w:rPr>
        <w:t>本采购项目不组织现场踏勘。</w:t>
      </w:r>
    </w:p>
    <w:p>
      <w:pPr>
        <w:spacing w:line="460" w:lineRule="exact"/>
        <w:ind w:firstLine="480" w:firstLineChars="200"/>
        <w:rPr>
          <w:rFonts w:ascii="宋体" w:hAnsi="宋体"/>
          <w:sz w:val="24"/>
        </w:rPr>
      </w:pPr>
      <w:bookmarkStart w:id="68" w:name="_Toc20858"/>
      <w:r>
        <w:rPr>
          <w:rFonts w:hint="eastAsia" w:ascii="宋体" w:hAnsi="宋体"/>
          <w:sz w:val="24"/>
        </w:rPr>
        <w:t>9.质疑</w:t>
      </w:r>
      <w:bookmarkEnd w:id="68"/>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 xml:space="preserve">.1 </w:t>
      </w:r>
      <w:r>
        <w:rPr>
          <w:rFonts w:hint="eastAsia" w:ascii="宋体" w:hAnsi="宋体"/>
          <w:sz w:val="24"/>
        </w:rPr>
        <w:t>供应商认为谈判文件、招标过程和成交结果使自己的合法权益受到损害的，可以在知道或者应知其权益受到损害之日起七个工作日内，以书面形式（纸质原件）向下列部门或采购人提出质疑。提出质疑的供应商应当是参与所质疑项目采购活动的供应商，供应商针对同一采购程序环节的质疑应当在法定质疑期内一次性提出，提出质疑时应当有明确的请求和必要的证明材料。</w:t>
      </w:r>
    </w:p>
    <w:p>
      <w:pPr>
        <w:spacing w:line="460" w:lineRule="exact"/>
        <w:ind w:firstLine="480" w:firstLineChars="200"/>
        <w:rPr>
          <w:rFonts w:ascii="宋体" w:hAnsi="宋体"/>
          <w:sz w:val="24"/>
        </w:rPr>
      </w:pPr>
      <w:r>
        <w:rPr>
          <w:rFonts w:hint="eastAsia" w:ascii="宋体" w:hAnsi="宋体"/>
          <w:sz w:val="24"/>
        </w:rPr>
        <w:t>受理质疑部门：采购单位。</w:t>
      </w:r>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 xml:space="preserve">.2 </w:t>
      </w:r>
      <w:r>
        <w:rPr>
          <w:rFonts w:hint="eastAsia" w:ascii="宋体" w:hAnsi="宋体"/>
          <w:sz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 xml:space="preserve">.3 </w:t>
      </w:r>
      <w:r>
        <w:rPr>
          <w:rFonts w:hint="eastAsia" w:ascii="宋体" w:hAnsi="宋体"/>
          <w:sz w:val="24"/>
        </w:rPr>
        <w:t>供应商提出质疑应当提交质疑函和必要的证明材料（如材料中有外文资料应同时附上中文译本）。质疑函应当包括下列内容：</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）供应商的姓名或者名称、地址、邮编、联系人及联系电话；</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）质疑项目的名称、编号；</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）具体、明确的质疑事项和与质疑事项相关的请求；</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）事实依据；</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）必要的法律依据；</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）提出质疑的日期。</w:t>
      </w:r>
    </w:p>
    <w:p>
      <w:pPr>
        <w:spacing w:line="460" w:lineRule="exact"/>
        <w:ind w:firstLine="480" w:firstLineChars="200"/>
        <w:rPr>
          <w:rFonts w:ascii="宋体" w:hAns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 xml:space="preserve">.4 </w:t>
      </w:r>
      <w:r>
        <w:rPr>
          <w:rFonts w:hint="eastAsia" w:ascii="宋体" w:hAnsi="宋体"/>
          <w:sz w:val="24"/>
        </w:rPr>
        <w:t>采购人、采购代理机构将在收到供应商的书面质疑后七个工作日内作出答复，并以书面形式通知质疑供应商和其他有关供应商，但答复的内容不涉及商业秘密。</w:t>
      </w:r>
    </w:p>
    <w:p>
      <w:pPr>
        <w:spacing w:line="460" w:lineRule="exact"/>
        <w:ind w:firstLine="480" w:firstLineChars="200"/>
        <w:rPr>
          <w:rFonts w:ascii="宋体" w:hAnsi="宋体"/>
          <w:sz w:val="24"/>
        </w:rPr>
      </w:pPr>
      <w:bookmarkStart w:id="69" w:name="_Toc18210"/>
      <w:r>
        <w:rPr>
          <w:rFonts w:hint="eastAsia" w:ascii="宋体" w:hAnsi="宋体"/>
          <w:sz w:val="24"/>
        </w:rPr>
        <w:t>10.投诉</w:t>
      </w:r>
      <w:bookmarkEnd w:id="69"/>
    </w:p>
    <w:p>
      <w:pPr>
        <w:spacing w:line="460" w:lineRule="exact"/>
        <w:ind w:firstLine="480" w:firstLineChars="200"/>
        <w:rPr>
          <w:rFonts w:ascii="宋体" w:hAnsi="宋体"/>
          <w:sz w:val="24"/>
        </w:rPr>
      </w:pPr>
      <w:r>
        <w:rPr>
          <w:rFonts w:hint="eastAsia" w:ascii="宋体" w:hAnsi="宋体"/>
          <w:sz w:val="24"/>
        </w:rPr>
        <w:t>投诉必须首先经过质疑程序。质疑供应商对采购人、采购代理机构的答复不满意，或者采购人、采购代理机构未在规定的时间内做出答复的，可以在答复期满后十五个工作日内书面向政府采购管理处提起投诉。</w:t>
      </w:r>
    </w:p>
    <w:p>
      <w:pPr>
        <w:pStyle w:val="4"/>
        <w:spacing w:before="0" w:line="240" w:lineRule="atLeast"/>
        <w:ind w:left="0" w:firstLine="482" w:firstLineChars="200"/>
        <w:rPr>
          <w:rFonts w:ascii="宋体" w:hAnsi="宋体" w:eastAsia="宋体"/>
          <w:sz w:val="24"/>
          <w:szCs w:val="24"/>
        </w:rPr>
      </w:pPr>
      <w:bookmarkStart w:id="70" w:name="_Toc84455571"/>
      <w:bookmarkStart w:id="71" w:name="_Toc5468"/>
      <w:bookmarkStart w:id="72" w:name="_Toc60996678"/>
      <w:bookmarkStart w:id="73" w:name="_Toc17687_WPSOffice_Level1"/>
      <w:bookmarkStart w:id="74" w:name="_Toc20599_WPSOffice_Level2"/>
      <w:bookmarkStart w:id="75" w:name="_Toc29818_WPSOffice_Level1"/>
      <w:bookmarkStart w:id="76" w:name="_二、招标文件"/>
      <w:r>
        <w:rPr>
          <w:rFonts w:hint="eastAsia" w:ascii="宋体" w:hAnsi="宋体" w:eastAsia="宋体"/>
          <w:sz w:val="24"/>
          <w:szCs w:val="24"/>
        </w:rPr>
        <w:t>二、谈判文件</w:t>
      </w:r>
      <w:bookmarkEnd w:id="70"/>
      <w:bookmarkEnd w:id="71"/>
      <w:bookmarkEnd w:id="72"/>
      <w:bookmarkEnd w:id="73"/>
      <w:bookmarkEnd w:id="74"/>
      <w:bookmarkEnd w:id="75"/>
    </w:p>
    <w:bookmarkEnd w:id="76"/>
    <w:p>
      <w:pPr>
        <w:spacing w:line="460" w:lineRule="exact"/>
        <w:ind w:firstLine="480" w:firstLineChars="200"/>
        <w:rPr>
          <w:rFonts w:ascii="宋体" w:hAnsi="宋体"/>
          <w:sz w:val="24"/>
        </w:rPr>
      </w:pPr>
      <w:bookmarkStart w:id="77" w:name="_Toc19852"/>
      <w:r>
        <w:rPr>
          <w:rFonts w:hint="eastAsia" w:ascii="宋体" w:hAnsi="宋体"/>
          <w:sz w:val="24"/>
        </w:rPr>
        <w:t>11.谈判文件构成</w:t>
      </w:r>
      <w:bookmarkEnd w:id="77"/>
    </w:p>
    <w:p>
      <w:pPr>
        <w:spacing w:line="460" w:lineRule="exact"/>
        <w:ind w:firstLine="480" w:firstLineChars="200"/>
        <w:rPr>
          <w:rFonts w:ascii="宋体" w:hAnsi="宋体"/>
          <w:sz w:val="24"/>
        </w:rPr>
      </w:pPr>
      <w:r>
        <w:rPr>
          <w:rFonts w:hint="eastAsia" w:ascii="宋体" w:hAnsi="宋体"/>
          <w:sz w:val="24"/>
        </w:rPr>
        <w:t>要求提供的货物、采购过程及合同条款在谈判文件中均有说明，谈判文件共七章，各章的内容如下：</w:t>
      </w:r>
    </w:p>
    <w:p>
      <w:pPr>
        <w:spacing w:line="460" w:lineRule="exact"/>
        <w:ind w:firstLine="480" w:firstLineChars="200"/>
        <w:rPr>
          <w:rFonts w:ascii="宋体" w:hAnsi="宋体"/>
          <w:sz w:val="24"/>
        </w:rPr>
      </w:pPr>
      <w:bookmarkStart w:id="78" w:name="_Toc19285_WPSOffice_Level2"/>
      <w:bookmarkStart w:id="79" w:name="_Toc17346_WPSOffice_Level2"/>
      <w:bookmarkStart w:id="80" w:name="_Toc20599_WPSOffice_Level1"/>
      <w:r>
        <w:rPr>
          <w:rFonts w:hint="eastAsia" w:ascii="宋体" w:hAnsi="宋体"/>
          <w:sz w:val="24"/>
        </w:rPr>
        <w:t>第一章竞争性谈判公告</w:t>
      </w:r>
      <w:bookmarkEnd w:id="78"/>
      <w:bookmarkEnd w:id="79"/>
      <w:bookmarkEnd w:id="80"/>
    </w:p>
    <w:p>
      <w:pPr>
        <w:spacing w:line="460" w:lineRule="exact"/>
        <w:ind w:firstLine="480" w:firstLineChars="200"/>
        <w:rPr>
          <w:rFonts w:ascii="宋体" w:hAnsi="宋体"/>
          <w:sz w:val="24"/>
        </w:rPr>
      </w:pPr>
      <w:bookmarkStart w:id="81" w:name="_Toc23365_WPSOffice_Level2"/>
      <w:bookmarkStart w:id="82" w:name="_Toc26127_WPSOffice_Level1"/>
      <w:bookmarkStart w:id="83" w:name="_Toc16744_WPSOffice_Level2"/>
      <w:r>
        <w:rPr>
          <w:rFonts w:hint="eastAsia" w:ascii="宋体" w:hAnsi="宋体"/>
          <w:sz w:val="24"/>
        </w:rPr>
        <w:t>第二章供应商须知</w:t>
      </w:r>
      <w:bookmarkEnd w:id="81"/>
      <w:bookmarkEnd w:id="82"/>
      <w:bookmarkEnd w:id="83"/>
    </w:p>
    <w:p>
      <w:pPr>
        <w:spacing w:line="460" w:lineRule="exact"/>
        <w:ind w:firstLine="480" w:firstLineChars="200"/>
        <w:rPr>
          <w:rFonts w:ascii="宋体" w:hAnsi="宋体"/>
          <w:sz w:val="24"/>
        </w:rPr>
      </w:pPr>
      <w:bookmarkStart w:id="84" w:name="_Toc12853_WPSOffice_Level2"/>
      <w:bookmarkStart w:id="85" w:name="_Toc27417_WPSOffice_Level2"/>
      <w:bookmarkStart w:id="86" w:name="_Toc25217_WPSOffice_Level1"/>
      <w:r>
        <w:rPr>
          <w:rFonts w:hint="eastAsia" w:ascii="宋体" w:hAnsi="宋体"/>
          <w:sz w:val="24"/>
        </w:rPr>
        <w:t>第三章合同书样式</w:t>
      </w:r>
      <w:bookmarkEnd w:id="84"/>
      <w:bookmarkEnd w:id="85"/>
      <w:bookmarkEnd w:id="86"/>
    </w:p>
    <w:p>
      <w:pPr>
        <w:spacing w:line="460" w:lineRule="exact"/>
        <w:ind w:firstLine="480" w:firstLineChars="200"/>
        <w:rPr>
          <w:rFonts w:ascii="宋体" w:hAnsi="宋体"/>
          <w:sz w:val="24"/>
        </w:rPr>
      </w:pPr>
      <w:bookmarkStart w:id="87" w:name="_Toc19055_WPSOffice_Level2"/>
      <w:bookmarkStart w:id="88" w:name="_Toc12208_WPSOffice_Level1"/>
      <w:bookmarkStart w:id="89" w:name="_Toc23738_WPSOffice_Level2"/>
      <w:r>
        <w:rPr>
          <w:rFonts w:hint="eastAsia" w:ascii="宋体" w:hAnsi="宋体"/>
          <w:sz w:val="24"/>
        </w:rPr>
        <w:t>第四章响应文件格式</w:t>
      </w:r>
      <w:bookmarkEnd w:id="87"/>
      <w:bookmarkEnd w:id="88"/>
      <w:bookmarkEnd w:id="89"/>
    </w:p>
    <w:p>
      <w:pPr>
        <w:spacing w:line="460" w:lineRule="exact"/>
        <w:ind w:firstLine="480" w:firstLineChars="200"/>
        <w:rPr>
          <w:rFonts w:ascii="宋体" w:hAnsi="宋体"/>
          <w:sz w:val="24"/>
        </w:rPr>
      </w:pPr>
      <w:bookmarkStart w:id="90" w:name="_Toc30699_WPSOffice_Level2"/>
      <w:bookmarkStart w:id="91" w:name="_Toc20995_WPSOffice_Level1"/>
      <w:bookmarkStart w:id="92" w:name="_Toc22224_WPSOffice_Level2"/>
      <w:r>
        <w:rPr>
          <w:rFonts w:hint="eastAsia" w:ascii="宋体" w:hAnsi="宋体"/>
          <w:sz w:val="24"/>
        </w:rPr>
        <w:t>第五章技术规格、参数与要求</w:t>
      </w:r>
      <w:bookmarkEnd w:id="90"/>
      <w:bookmarkEnd w:id="91"/>
      <w:bookmarkEnd w:id="92"/>
    </w:p>
    <w:p>
      <w:pPr>
        <w:spacing w:line="460" w:lineRule="exact"/>
        <w:ind w:firstLine="480" w:firstLineChars="200"/>
        <w:rPr>
          <w:rFonts w:ascii="宋体" w:hAnsi="宋体"/>
          <w:sz w:val="24"/>
        </w:rPr>
      </w:pPr>
      <w:bookmarkStart w:id="93" w:name="_Toc7113_WPSOffice_Level2"/>
      <w:bookmarkStart w:id="94" w:name="_Toc6428_WPSOffice_Level1"/>
      <w:bookmarkStart w:id="95" w:name="_Toc13234_WPSOffice_Level2"/>
      <w:r>
        <w:rPr>
          <w:rFonts w:hint="eastAsia" w:ascii="宋体" w:hAnsi="宋体"/>
          <w:sz w:val="24"/>
        </w:rPr>
        <w:t>第六章</w:t>
      </w:r>
      <w:bookmarkEnd w:id="93"/>
      <w:bookmarkEnd w:id="94"/>
      <w:bookmarkEnd w:id="95"/>
      <w:r>
        <w:rPr>
          <w:rFonts w:hint="eastAsia" w:ascii="宋体" w:hAnsi="宋体"/>
          <w:sz w:val="24"/>
        </w:rPr>
        <w:t>评审办法</w:t>
      </w:r>
    </w:p>
    <w:p>
      <w:pPr>
        <w:spacing w:line="460" w:lineRule="exact"/>
        <w:ind w:firstLine="480" w:firstLineChars="200"/>
        <w:rPr>
          <w:rFonts w:ascii="宋体" w:hAnsi="宋体"/>
          <w:sz w:val="24"/>
        </w:rPr>
      </w:pPr>
      <w:bookmarkStart w:id="96" w:name="_Toc27416"/>
      <w:r>
        <w:rPr>
          <w:rFonts w:hint="eastAsia" w:ascii="宋体" w:hAnsi="宋体"/>
          <w:sz w:val="24"/>
        </w:rPr>
        <w:t>12.谈判文件的澄清</w:t>
      </w:r>
      <w:bookmarkEnd w:id="96"/>
    </w:p>
    <w:p>
      <w:pPr>
        <w:spacing w:line="460" w:lineRule="exact"/>
        <w:ind w:firstLine="480" w:firstLineChars="200"/>
        <w:rPr>
          <w:rFonts w:ascii="宋体" w:hAnsi="宋体"/>
          <w:sz w:val="24"/>
        </w:rPr>
      </w:pPr>
      <w:r>
        <w:rPr>
          <w:rFonts w:hint="eastAsia" w:ascii="宋体" w:hAnsi="宋体"/>
          <w:sz w:val="24"/>
        </w:rPr>
        <w:t>12</w:t>
      </w:r>
      <w:r>
        <w:rPr>
          <w:rFonts w:ascii="宋体" w:hAnsi="宋体"/>
          <w:sz w:val="24"/>
        </w:rPr>
        <w:t xml:space="preserve">.1 </w:t>
      </w:r>
      <w:r>
        <w:rPr>
          <w:rFonts w:hint="eastAsia" w:ascii="宋体" w:hAnsi="宋体"/>
          <w:sz w:val="24"/>
        </w:rPr>
        <w:t>供应商应认真审核第五章“ 技术规格、参数与要求”中的技术参数、配置及要求，如发现表中技术参数、配置有误或要求不合理的，供应商必须在“供应商须知前附表”规定截止时间前以书面形式（加盖公章）要求采购单位澄清，截止时间后送达的澄清要求概不接受，由此产生的后果由供应商自行负责。</w:t>
      </w:r>
    </w:p>
    <w:p>
      <w:pPr>
        <w:spacing w:line="460" w:lineRule="exact"/>
        <w:ind w:firstLine="480" w:firstLineChars="200"/>
        <w:rPr>
          <w:rFonts w:ascii="宋体" w:hAnsi="宋体"/>
          <w:sz w:val="24"/>
        </w:rPr>
      </w:pPr>
      <w:r>
        <w:rPr>
          <w:rFonts w:hint="eastAsia" w:ascii="宋体" w:hAnsi="宋体"/>
          <w:sz w:val="24"/>
        </w:rPr>
        <w:t>12</w:t>
      </w:r>
      <w:r>
        <w:rPr>
          <w:rFonts w:ascii="宋体" w:hAnsi="宋体"/>
          <w:sz w:val="24"/>
        </w:rPr>
        <w:t xml:space="preserve">.2 </w:t>
      </w:r>
      <w:r>
        <w:rPr>
          <w:rFonts w:hint="eastAsia" w:ascii="宋体" w:hAnsi="宋体"/>
          <w:sz w:val="24"/>
        </w:rPr>
        <w:t>采购单位将以书面或网上发布公告形式（发布媒体详见招标公告）答复所有报名的供应商（答复中不包含问题的来源）要求澄清的问题，其他澄清方式无效。</w:t>
      </w:r>
    </w:p>
    <w:p>
      <w:pPr>
        <w:spacing w:line="460" w:lineRule="exact"/>
        <w:ind w:firstLine="480" w:firstLineChars="200"/>
        <w:rPr>
          <w:rFonts w:ascii="宋体" w:hAnsi="宋体"/>
          <w:sz w:val="24"/>
        </w:rPr>
      </w:pPr>
      <w:bookmarkStart w:id="97" w:name="_Toc29711"/>
      <w:r>
        <w:rPr>
          <w:rFonts w:hint="eastAsia" w:ascii="宋体" w:hAnsi="宋体"/>
          <w:sz w:val="24"/>
        </w:rPr>
        <w:t>13.谈判文件的修改</w:t>
      </w:r>
      <w:bookmarkEnd w:id="97"/>
    </w:p>
    <w:p>
      <w:pPr>
        <w:spacing w:line="460" w:lineRule="exact"/>
        <w:ind w:firstLine="480" w:firstLineChars="200"/>
        <w:rPr>
          <w:rFonts w:ascii="宋体" w:hAnsi="宋体"/>
          <w:sz w:val="24"/>
        </w:rPr>
      </w:pPr>
      <w:r>
        <w:rPr>
          <w:rFonts w:hint="eastAsia" w:ascii="宋体" w:hAnsi="宋体"/>
          <w:sz w:val="24"/>
        </w:rPr>
        <w:t>13</w:t>
      </w:r>
      <w:r>
        <w:rPr>
          <w:rFonts w:ascii="宋体" w:hAnsi="宋体"/>
          <w:sz w:val="24"/>
        </w:rPr>
        <w:t>.1</w:t>
      </w:r>
      <w:r>
        <w:rPr>
          <w:rFonts w:hint="eastAsia" w:ascii="宋体" w:hAnsi="宋体"/>
          <w:sz w:val="24"/>
        </w:rPr>
        <w:t>采购单位对已发出的谈判文件进行必要澄清或者修改的，于谈判文件要求提交响应文件截止时间3个工作日前，在指定采购信息发布媒体（发布媒体详见招标公告）上发布澄清公告。该澄清或者修改的内容为谈判文件的组成部分。</w:t>
      </w:r>
    </w:p>
    <w:p>
      <w:pPr>
        <w:spacing w:line="460" w:lineRule="exact"/>
        <w:ind w:firstLine="480" w:firstLineChars="200"/>
        <w:rPr>
          <w:rFonts w:ascii="宋体" w:hAnsi="宋体"/>
          <w:sz w:val="24"/>
        </w:rPr>
      </w:pPr>
      <w:r>
        <w:rPr>
          <w:rFonts w:hint="eastAsia" w:ascii="宋体" w:hAnsi="宋体"/>
          <w:sz w:val="24"/>
        </w:rPr>
        <w:t>13</w:t>
      </w:r>
      <w:r>
        <w:rPr>
          <w:rFonts w:ascii="宋体" w:hAnsi="宋体"/>
          <w:sz w:val="24"/>
        </w:rPr>
        <w:t xml:space="preserve">.2 </w:t>
      </w:r>
      <w:r>
        <w:rPr>
          <w:rFonts w:hint="eastAsia" w:ascii="宋体" w:hAnsi="宋体"/>
          <w:sz w:val="24"/>
        </w:rPr>
        <w:t>澄清或者修改的内容可能影响响应文件编制的，采购单位于提交首次响应文件截止之日3个工作日前，以书面形式通知所有获取谈判文件的潜在供应商；不足3个工作日的，顺延提交响应文件的截止时间。</w:t>
      </w:r>
    </w:p>
    <w:p>
      <w:pPr>
        <w:spacing w:line="46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采购单位对谈判文件中的采购需求、评审办法、评审项目等重要评审内容做出变更，将同时发布补遗文件进行说明以保证各供应商都能重新下载并用于编制电子响应文件。</w:t>
      </w:r>
    </w:p>
    <w:p>
      <w:pPr>
        <w:spacing w:line="46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供应商在收到采购单位书面答疑和澄清后，请自行登录</w:t>
      </w:r>
      <w:r>
        <w:rPr>
          <w:rFonts w:hint="eastAsia" w:ascii="宋体" w:hAnsi="宋体"/>
          <w:sz w:val="24"/>
          <w:lang w:val="zh-CN"/>
        </w:rPr>
        <w:t>楚雄医药高等专科学校后勤处招标公示栏</w:t>
      </w:r>
      <w:r>
        <w:rPr>
          <w:rFonts w:hint="eastAsia" w:ascii="宋体" w:hAnsi="宋体"/>
          <w:sz w:val="24"/>
        </w:rPr>
        <w:t>收取修改内容。供应商应在截标时间前随时查看指定采购信息发布媒体（发布媒体详见招标公告）中有关该项目谈判文件的答疑、补遗内容。</w:t>
      </w:r>
    </w:p>
    <w:p>
      <w:pPr>
        <w:spacing w:line="46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.5</w:t>
      </w:r>
      <w:r>
        <w:rPr>
          <w:rFonts w:hint="eastAsia" w:ascii="宋体" w:hAnsi="宋体"/>
          <w:sz w:val="24"/>
        </w:rPr>
        <w:t>谈判文件澄清、谈判文件修改文件内容均以网上发布的文件为准，当谈判文件、谈判文件澄清、谈判文件修改文件内容前后相互矛盾时，以最后发出的为准。</w:t>
      </w:r>
    </w:p>
    <w:p>
      <w:pPr>
        <w:pStyle w:val="17"/>
        <w:tabs>
          <w:tab w:val="center" w:pos="4422"/>
        </w:tabs>
        <w:adjustRightInd w:val="0"/>
        <w:snapToGrid w:val="0"/>
        <w:spacing w:before="120" w:beforeLines="50" w:line="360" w:lineRule="auto"/>
        <w:ind w:firstLine="352" w:firstLineChars="147"/>
        <w:rPr>
          <w:rFonts w:hAnsi="宋体"/>
          <w:sz w:val="24"/>
          <w:szCs w:val="24"/>
        </w:rPr>
      </w:pPr>
      <w:r>
        <w:rPr>
          <w:rFonts w:hint="eastAsia" w:hAnsi="宋体"/>
          <w:sz w:val="24"/>
          <w:szCs w:val="24"/>
        </w:rPr>
        <w:t>14.偏离</w:t>
      </w:r>
      <w:r>
        <w:rPr>
          <w:rFonts w:hAnsi="宋体"/>
          <w:sz w:val="24"/>
          <w:szCs w:val="24"/>
        </w:rPr>
        <w:tab/>
      </w:r>
    </w:p>
    <w:p>
      <w:pPr>
        <w:pStyle w:val="32"/>
        <w:adjustRightInd w:val="0"/>
        <w:snapToGrid w:val="0"/>
        <w:spacing w:before="0" w:beforeAutospacing="0" w:after="0" w:afterAutospacing="0" w:line="360" w:lineRule="auto"/>
        <w:ind w:right="97" w:rightChars="46" w:firstLine="480" w:firstLineChars="200"/>
        <w:jc w:val="both"/>
        <w:rPr>
          <w:rFonts w:cs="Times New Roman"/>
          <w:kern w:val="2"/>
        </w:rPr>
      </w:pPr>
      <w:r>
        <w:rPr>
          <w:rFonts w:hint="eastAsia" w:cs="Times New Roman"/>
          <w:kern w:val="2"/>
        </w:rPr>
        <w:t>14.1本条所称偏离为对谈判文件的偏离，即超过、不满足、或不响应谈判文件的要求。偏离分为对谈判文件的实质性要求条款偏离和对谈判文件的一般商务和技术条款（参数）偏离；允许正偏离。</w:t>
      </w:r>
    </w:p>
    <w:p>
      <w:pPr>
        <w:tabs>
          <w:tab w:val="left" w:pos="0"/>
        </w:tabs>
        <w:adjustRightInd w:val="0"/>
        <w:snapToGrid w:val="0"/>
        <w:spacing w:before="120" w:beforeLines="50" w:line="360" w:lineRule="auto"/>
        <w:ind w:firstLine="480" w:firstLineChars="200"/>
        <w:rPr>
          <w:rFonts w:ascii="宋体" w:hAnsi="宋体"/>
          <w:sz w:val="24"/>
        </w:rPr>
      </w:pPr>
      <w:r>
        <w:rPr>
          <w:rFonts w:hint="eastAsia" w:ascii="宋体" w:hAnsi="宋体"/>
          <w:sz w:val="24"/>
        </w:rPr>
        <w:t>14.2除法律、法规和规章规定外，谈判文件中用“拒绝”、“不接受”、“无效”、“不得”等文字规定或标注“★”符号的条款为实质性要求条款（即重要条款），对其中任何一条的偏离，在评审时将其视为无效响应。未用上述文字规定或符号标注的条款为非实质性要求条款(即一般条款)。</w:t>
      </w:r>
    </w:p>
    <w:p>
      <w:pPr>
        <w:tabs>
          <w:tab w:val="left" w:pos="0"/>
        </w:tabs>
        <w:adjustRightInd w:val="0"/>
        <w:snapToGrid w:val="0"/>
        <w:spacing w:before="120" w:beforeLines="50" w:line="360" w:lineRule="auto"/>
        <w:ind w:firstLine="480" w:firstLineChars="200"/>
        <w:rPr>
          <w:rFonts w:ascii="宋体" w:hAnsi="宋体"/>
          <w:sz w:val="24"/>
        </w:rPr>
      </w:pPr>
      <w:r>
        <w:rPr>
          <w:rFonts w:hint="eastAsia" w:ascii="宋体" w:hAnsi="宋体"/>
          <w:sz w:val="24"/>
        </w:rPr>
        <w:t>14.3技术规格、参数及要求中的一般商务和技术条款（参数），在超出允许偏离的条款数（最高项数）时，在评审时将其视为无效响应。</w:t>
      </w:r>
    </w:p>
    <w:p>
      <w:pPr>
        <w:tabs>
          <w:tab w:val="left" w:pos="0"/>
        </w:tabs>
        <w:adjustRightInd w:val="0"/>
        <w:snapToGrid w:val="0"/>
        <w:spacing w:before="120" w:beforeLines="50" w:line="360" w:lineRule="auto"/>
        <w:ind w:firstLine="480" w:firstLineChars="200"/>
      </w:pPr>
      <w:r>
        <w:rPr>
          <w:rFonts w:hint="eastAsia" w:ascii="宋体" w:hAnsi="宋体"/>
          <w:sz w:val="24"/>
        </w:rPr>
        <w:t>14.4本章第14.3</w:t>
      </w:r>
      <w:r>
        <w:rPr>
          <w:rFonts w:hint="eastAsia" w:ascii="宋体" w:hAnsi="宋体"/>
          <w:sz w:val="24"/>
          <w:lang w:val="zh-CN"/>
        </w:rPr>
        <w:t>款</w:t>
      </w:r>
      <w:r>
        <w:rPr>
          <w:rFonts w:hint="eastAsia" w:ascii="宋体" w:hAnsi="宋体"/>
          <w:sz w:val="24"/>
        </w:rPr>
        <w:t>所称条款数最高项数为</w:t>
      </w:r>
      <w:r>
        <w:rPr>
          <w:rFonts w:hint="eastAsia" w:ascii="宋体" w:hAnsi="宋体"/>
          <w:sz w:val="24"/>
          <w:u w:val="single"/>
        </w:rPr>
        <w:t xml:space="preserve"> 0 </w:t>
      </w:r>
      <w:r>
        <w:rPr>
          <w:rFonts w:hint="eastAsia" w:ascii="宋体" w:hAnsi="宋体"/>
          <w:sz w:val="24"/>
        </w:rPr>
        <w:t>项。</w:t>
      </w:r>
    </w:p>
    <w:p>
      <w:pPr>
        <w:pStyle w:val="4"/>
        <w:spacing w:before="0" w:line="240" w:lineRule="atLeast"/>
        <w:ind w:left="0" w:firstLine="482" w:firstLineChars="200"/>
        <w:rPr>
          <w:rFonts w:ascii="宋体" w:hAnsi="宋体" w:eastAsia="宋体"/>
          <w:sz w:val="24"/>
          <w:szCs w:val="24"/>
        </w:rPr>
      </w:pPr>
      <w:bookmarkStart w:id="98" w:name="_Toc84455572"/>
      <w:bookmarkStart w:id="99" w:name="_Toc22352_WPSOffice_Level1"/>
      <w:bookmarkStart w:id="100" w:name="_Toc26127_WPSOffice_Level2"/>
      <w:bookmarkStart w:id="101" w:name="_Toc23972_WPSOffice_Level1"/>
      <w:bookmarkStart w:id="102" w:name="_Toc22665"/>
      <w:bookmarkStart w:id="103" w:name="_Toc60996679"/>
      <w:bookmarkStart w:id="104" w:name="_三、投标文件的编制"/>
      <w:r>
        <w:rPr>
          <w:rFonts w:hint="eastAsia" w:ascii="宋体" w:hAnsi="宋体" w:eastAsia="宋体"/>
          <w:sz w:val="24"/>
          <w:szCs w:val="24"/>
        </w:rPr>
        <w:t>三、响应文件的编制</w:t>
      </w:r>
      <w:bookmarkEnd w:id="98"/>
      <w:bookmarkEnd w:id="99"/>
      <w:bookmarkEnd w:id="100"/>
      <w:bookmarkEnd w:id="101"/>
      <w:bookmarkEnd w:id="102"/>
      <w:bookmarkEnd w:id="103"/>
    </w:p>
    <w:bookmarkEnd w:id="104"/>
    <w:p>
      <w:pPr>
        <w:spacing w:line="460" w:lineRule="exact"/>
        <w:ind w:firstLine="480" w:firstLineChars="200"/>
        <w:rPr>
          <w:rFonts w:ascii="宋体" w:hAnsi="宋体"/>
          <w:sz w:val="24"/>
        </w:rPr>
      </w:pPr>
      <w:bookmarkStart w:id="105" w:name="_Toc112"/>
      <w:r>
        <w:rPr>
          <w:rFonts w:hint="eastAsia" w:ascii="宋体" w:hAnsi="宋体"/>
          <w:sz w:val="24"/>
        </w:rPr>
        <w:t>15.响应文件编写注意事项</w:t>
      </w:r>
      <w:bookmarkEnd w:id="105"/>
    </w:p>
    <w:p>
      <w:pPr>
        <w:spacing w:line="460" w:lineRule="exact"/>
        <w:ind w:firstLine="480" w:firstLineChars="200"/>
        <w:rPr>
          <w:rFonts w:ascii="宋体" w:hAnsi="宋体"/>
          <w:sz w:val="24"/>
        </w:rPr>
      </w:pPr>
      <w:r>
        <w:rPr>
          <w:rFonts w:hint="eastAsia" w:ascii="宋体" w:hAnsi="宋体"/>
          <w:sz w:val="24"/>
        </w:rPr>
        <w:t>15</w:t>
      </w:r>
      <w:r>
        <w:rPr>
          <w:rFonts w:ascii="宋体" w:hAnsi="宋体"/>
          <w:sz w:val="24"/>
        </w:rPr>
        <w:t>.1</w:t>
      </w:r>
      <w:r>
        <w:rPr>
          <w:rFonts w:hint="eastAsia" w:ascii="宋体" w:hAnsi="宋体"/>
          <w:sz w:val="24"/>
        </w:rPr>
        <w:t>本项目所述的响应文件为纸质响应文件。</w:t>
      </w:r>
    </w:p>
    <w:p>
      <w:pPr>
        <w:spacing w:line="460" w:lineRule="exact"/>
        <w:ind w:firstLine="480" w:firstLineChars="200"/>
        <w:rPr>
          <w:rFonts w:ascii="宋体" w:hAnsi="宋体"/>
          <w:sz w:val="24"/>
        </w:rPr>
      </w:pPr>
      <w:r>
        <w:rPr>
          <w:rFonts w:hint="eastAsia" w:ascii="宋体" w:hAnsi="宋体"/>
          <w:sz w:val="24"/>
        </w:rPr>
        <w:t>15</w:t>
      </w:r>
      <w:r>
        <w:rPr>
          <w:rFonts w:ascii="宋体" w:hAnsi="宋体"/>
          <w:sz w:val="24"/>
        </w:rPr>
        <w:t xml:space="preserve">.2 </w:t>
      </w:r>
      <w:r>
        <w:rPr>
          <w:rFonts w:hint="eastAsia" w:ascii="宋体" w:hAnsi="宋体"/>
          <w:sz w:val="24"/>
        </w:rPr>
        <w:t>供应商应仔细阅读谈判文件，在完全了解采购的内容、技术性能要求（见第五章“技术规格、参数与要求”）和商务条件后，编写响应文件。如果没有按照谈判文件要求提交全部响应文件或者资料，没有对谈判文件的实质性要求和条件作出响应的可能导致该投标无效。</w:t>
      </w:r>
    </w:p>
    <w:p>
      <w:pPr>
        <w:spacing w:line="460" w:lineRule="exact"/>
        <w:ind w:firstLine="480" w:firstLineChars="200"/>
        <w:rPr>
          <w:rFonts w:ascii="宋体" w:hAnsi="宋体"/>
          <w:sz w:val="24"/>
        </w:rPr>
      </w:pPr>
      <w:r>
        <w:rPr>
          <w:rFonts w:hint="eastAsia" w:ascii="宋体" w:hAnsi="宋体"/>
          <w:sz w:val="24"/>
        </w:rPr>
        <w:t>15</w:t>
      </w:r>
      <w:r>
        <w:rPr>
          <w:rFonts w:ascii="宋体" w:hAnsi="宋体"/>
          <w:sz w:val="24"/>
        </w:rPr>
        <w:t xml:space="preserve">.3 </w:t>
      </w:r>
      <w:r>
        <w:rPr>
          <w:rFonts w:hint="eastAsia" w:ascii="宋体" w:hAnsi="宋体"/>
          <w:sz w:val="24"/>
        </w:rPr>
        <w:t>对谈判文件提出的实质性要求和条件作出响应是指供应商必须对谈判文件中标明的实质性要求和条件的技术参数及性能配置、数量、售后服务、合同主要条款及其他要求等内容作出满足或者优于原要求和条件的承诺。</w:t>
      </w:r>
    </w:p>
    <w:p>
      <w:pPr>
        <w:spacing w:line="460" w:lineRule="exact"/>
        <w:ind w:firstLine="480" w:firstLineChars="200"/>
        <w:rPr>
          <w:rFonts w:ascii="宋体" w:hAnsi="宋体"/>
          <w:sz w:val="24"/>
        </w:rPr>
      </w:pPr>
      <w:r>
        <w:rPr>
          <w:rFonts w:hint="eastAsia" w:ascii="宋体" w:hAnsi="宋体"/>
          <w:sz w:val="24"/>
        </w:rPr>
        <w:t>15</w:t>
      </w:r>
      <w:r>
        <w:rPr>
          <w:rFonts w:ascii="宋体" w:hAnsi="宋体"/>
          <w:sz w:val="24"/>
        </w:rPr>
        <w:t xml:space="preserve">.4 </w:t>
      </w:r>
      <w:r>
        <w:rPr>
          <w:rFonts w:hint="eastAsia" w:ascii="宋体" w:hAnsi="宋体"/>
          <w:sz w:val="24"/>
        </w:rPr>
        <w:t>谈判文件中的实质性要求和条件详见“供应商须知前附表”。</w:t>
      </w:r>
    </w:p>
    <w:p>
      <w:pPr>
        <w:spacing w:line="460" w:lineRule="exact"/>
        <w:ind w:firstLine="480" w:firstLineChars="200"/>
        <w:rPr>
          <w:rFonts w:ascii="宋体" w:hAnsi="宋体"/>
          <w:sz w:val="24"/>
        </w:rPr>
      </w:pPr>
      <w:r>
        <w:rPr>
          <w:rFonts w:hint="eastAsia" w:ascii="宋体" w:hAnsi="宋体"/>
          <w:sz w:val="24"/>
        </w:rPr>
        <w:t>15</w:t>
      </w:r>
      <w:r>
        <w:rPr>
          <w:rFonts w:ascii="宋体" w:hAnsi="宋体"/>
          <w:sz w:val="24"/>
        </w:rPr>
        <w:t>.5</w:t>
      </w:r>
      <w:r>
        <w:rPr>
          <w:rFonts w:hint="eastAsia" w:ascii="宋体" w:hAnsi="宋体"/>
          <w:sz w:val="24"/>
        </w:rPr>
        <w:t xml:space="preserve"> 电子响应文件全部采用纸质文档。编制要求见供应商须知正文附件《响应文件编制及报送要求》。</w:t>
      </w:r>
    </w:p>
    <w:p>
      <w:pPr>
        <w:spacing w:line="460" w:lineRule="exact"/>
        <w:ind w:firstLine="480" w:firstLineChars="200"/>
        <w:rPr>
          <w:rFonts w:ascii="宋体" w:hAnsi="宋体"/>
          <w:sz w:val="24"/>
        </w:rPr>
      </w:pPr>
      <w:bookmarkStart w:id="106" w:name="_Toc20073"/>
      <w:r>
        <w:rPr>
          <w:rFonts w:hint="eastAsia" w:ascii="宋体" w:hAnsi="宋体"/>
          <w:sz w:val="24"/>
        </w:rPr>
        <w:t>16.投标的语言及计量单位</w:t>
      </w:r>
      <w:bookmarkEnd w:id="106"/>
    </w:p>
    <w:p>
      <w:pPr>
        <w:spacing w:line="460" w:lineRule="exact"/>
        <w:ind w:firstLine="480" w:firstLineChars="200"/>
        <w:rPr>
          <w:rFonts w:ascii="宋体" w:hAnsi="宋体"/>
          <w:sz w:val="24"/>
        </w:rPr>
      </w:pPr>
      <w:r>
        <w:rPr>
          <w:rFonts w:hint="eastAsia" w:ascii="宋体" w:hAnsi="宋体"/>
          <w:sz w:val="24"/>
        </w:rPr>
        <w:t>16</w:t>
      </w:r>
      <w:r>
        <w:rPr>
          <w:rFonts w:ascii="宋体" w:hAnsi="宋体"/>
          <w:sz w:val="24"/>
        </w:rPr>
        <w:t xml:space="preserve">.1 </w:t>
      </w:r>
      <w:r>
        <w:rPr>
          <w:rFonts w:hint="eastAsia" w:ascii="宋体" w:hAnsi="宋体"/>
          <w:sz w:val="24"/>
        </w:rPr>
        <w:t>供应商的响应文件以及供应商就有关投标的所有来往函电统一使用中文（特别规定除外）。</w:t>
      </w:r>
    </w:p>
    <w:p>
      <w:pPr>
        <w:spacing w:line="460" w:lineRule="exact"/>
        <w:ind w:firstLine="480" w:firstLineChars="200"/>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响应文件中使用的计量单位除谈判文件中有特殊规定外，一律使用中华人民共和国法定计量单位。</w:t>
      </w:r>
    </w:p>
    <w:p>
      <w:pPr>
        <w:spacing w:line="460" w:lineRule="exact"/>
        <w:ind w:firstLine="480" w:firstLineChars="200"/>
        <w:rPr>
          <w:rFonts w:ascii="宋体" w:hAnsi="宋体"/>
          <w:sz w:val="24"/>
        </w:rPr>
      </w:pPr>
      <w:bookmarkStart w:id="107" w:name="_Toc609"/>
      <w:r>
        <w:rPr>
          <w:rFonts w:hint="eastAsia" w:ascii="宋体" w:hAnsi="宋体"/>
          <w:sz w:val="24"/>
        </w:rPr>
        <w:t>17.响应文件构成</w:t>
      </w:r>
      <w:bookmarkEnd w:id="107"/>
    </w:p>
    <w:p>
      <w:pPr>
        <w:spacing w:line="460" w:lineRule="exact"/>
        <w:ind w:firstLine="480" w:firstLineChars="200"/>
        <w:rPr>
          <w:rFonts w:ascii="宋体" w:hAnsi="宋体"/>
          <w:sz w:val="24"/>
        </w:rPr>
      </w:pPr>
      <w:r>
        <w:rPr>
          <w:rFonts w:hint="eastAsia" w:ascii="宋体" w:hAnsi="宋体"/>
          <w:sz w:val="24"/>
        </w:rPr>
        <w:t>供应商同时投多个包（若分包时）的，响应文件应按包分别编制，按供应商应按第四章“响应文件格式”要求的格式完整地填写。</w:t>
      </w:r>
    </w:p>
    <w:p>
      <w:pPr>
        <w:spacing w:line="460" w:lineRule="exact"/>
        <w:ind w:firstLine="480" w:firstLineChars="200"/>
        <w:rPr>
          <w:rFonts w:ascii="宋体" w:hAnsi="宋体"/>
          <w:sz w:val="24"/>
        </w:rPr>
      </w:pPr>
      <w:bookmarkStart w:id="108" w:name="_Toc8444"/>
      <w:r>
        <w:rPr>
          <w:rFonts w:hint="eastAsia" w:ascii="宋体" w:hAnsi="宋体"/>
          <w:sz w:val="24"/>
        </w:rPr>
        <w:t>18.投标报价</w:t>
      </w:r>
      <w:bookmarkEnd w:id="108"/>
    </w:p>
    <w:p>
      <w:pPr>
        <w:spacing w:line="460" w:lineRule="exact"/>
        <w:ind w:firstLine="480" w:firstLineChars="200"/>
        <w:rPr>
          <w:rFonts w:ascii="宋体" w:hAnsi="宋体"/>
          <w:sz w:val="24"/>
        </w:rPr>
      </w:pPr>
      <w:bookmarkStart w:id="109" w:name="_Toc32040"/>
      <w:r>
        <w:rPr>
          <w:rFonts w:hint="eastAsia" w:ascii="宋体" w:hAnsi="宋体"/>
          <w:sz w:val="24"/>
        </w:rPr>
        <w:t>18.1 供应商应按谈判文件规定的要求和范围，以人民币进行报价。</w:t>
      </w:r>
    </w:p>
    <w:p>
      <w:pPr>
        <w:spacing w:line="460" w:lineRule="exact"/>
        <w:ind w:firstLine="480" w:firstLineChars="200"/>
        <w:rPr>
          <w:rFonts w:ascii="宋体" w:hAnsi="宋体"/>
          <w:sz w:val="24"/>
        </w:rPr>
      </w:pPr>
      <w:r>
        <w:rPr>
          <w:rFonts w:hint="eastAsia" w:ascii="宋体" w:hAnsi="宋体"/>
          <w:sz w:val="24"/>
        </w:rPr>
        <w:t>18.2除规定允许提交备选方案外，供应商对每种货物及服务只允许有一个报价，不接受选择性报价，否则，在评审时将其视为无效响应报价。</w:t>
      </w:r>
    </w:p>
    <w:p>
      <w:pPr>
        <w:spacing w:line="460" w:lineRule="exact"/>
        <w:ind w:firstLine="480" w:firstLineChars="200"/>
        <w:rPr>
          <w:rFonts w:ascii="宋体" w:hAnsi="宋体"/>
          <w:sz w:val="24"/>
        </w:rPr>
      </w:pPr>
      <w:r>
        <w:rPr>
          <w:rFonts w:hint="eastAsia" w:ascii="宋体" w:hAnsi="宋体"/>
          <w:sz w:val="24"/>
        </w:rPr>
        <w:t>18.3供应商的报价不得超过采购项目预算。</w:t>
      </w:r>
    </w:p>
    <w:bookmarkEnd w:id="109"/>
    <w:p>
      <w:pPr>
        <w:spacing w:line="460" w:lineRule="exact"/>
        <w:ind w:firstLine="480" w:firstLineChars="200"/>
        <w:rPr>
          <w:rFonts w:ascii="宋体" w:hAnsi="宋体"/>
          <w:sz w:val="24"/>
        </w:rPr>
      </w:pPr>
      <w:bookmarkStart w:id="110" w:name="_Toc17723"/>
      <w:r>
        <w:rPr>
          <w:rFonts w:hint="eastAsia" w:ascii="宋体" w:hAnsi="宋体"/>
          <w:sz w:val="24"/>
        </w:rPr>
        <w:t>19.投标有效期</w:t>
      </w:r>
      <w:bookmarkEnd w:id="110"/>
    </w:p>
    <w:p>
      <w:pPr>
        <w:spacing w:line="460" w:lineRule="exact"/>
        <w:ind w:firstLine="480" w:firstLineChars="200"/>
        <w:rPr>
          <w:rFonts w:ascii="宋体" w:hAnsi="宋体"/>
          <w:sz w:val="24"/>
        </w:rPr>
      </w:pPr>
      <w:r>
        <w:rPr>
          <w:rFonts w:hint="eastAsia" w:ascii="宋体" w:hAnsi="宋体"/>
          <w:sz w:val="24"/>
        </w:rPr>
        <w:t>19.1 响应文件有效期为60日历天，在此期间响应文件对供应商具有法律约束力，响应文件有效期从规定的递交响应文件截止时间起计算。响应文件有效期不足的将被视为无效响应。</w:t>
      </w:r>
    </w:p>
    <w:p>
      <w:pPr>
        <w:spacing w:line="460" w:lineRule="exact"/>
        <w:ind w:firstLine="480" w:firstLineChars="200"/>
        <w:rPr>
          <w:rFonts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因特殊情况需要延长投标有效期的，采购人以书面形式通知所有供应商延长投标有效期。供应商同意延长的，应相应延长其谈判保证金的有效期，但不得要求或被允许修改或撤销其响应文件；供应商拒绝延长的，其投标失效，但供应商有权收回其谈判保证金。</w:t>
      </w:r>
    </w:p>
    <w:p>
      <w:pPr>
        <w:spacing w:line="460" w:lineRule="exact"/>
        <w:ind w:firstLine="480" w:firstLineChars="200"/>
        <w:rPr>
          <w:rFonts w:ascii="宋体" w:hAnsi="宋体"/>
          <w:sz w:val="24"/>
        </w:rPr>
      </w:pPr>
      <w:bookmarkStart w:id="111" w:name="_Toc18796"/>
      <w:r>
        <w:rPr>
          <w:rFonts w:hint="eastAsia" w:ascii="宋体" w:hAnsi="宋体"/>
          <w:sz w:val="24"/>
        </w:rPr>
        <w:t>20.响应文件的签署要求</w:t>
      </w:r>
      <w:bookmarkEnd w:id="111"/>
    </w:p>
    <w:p>
      <w:pPr>
        <w:spacing w:line="460" w:lineRule="exact"/>
        <w:ind w:firstLine="480" w:firstLineChars="200"/>
        <w:rPr>
          <w:rFonts w:ascii="宋体" w:hAnsi="宋体"/>
          <w:sz w:val="24"/>
        </w:rPr>
      </w:pPr>
      <w:r>
        <w:rPr>
          <w:rFonts w:hint="eastAsia" w:ascii="宋体" w:hAnsi="宋体"/>
          <w:sz w:val="24"/>
        </w:rPr>
        <w:t>20</w:t>
      </w:r>
      <w:r>
        <w:rPr>
          <w:rFonts w:ascii="宋体" w:hAnsi="宋体"/>
          <w:sz w:val="24"/>
        </w:rPr>
        <w:t xml:space="preserve">.1 </w:t>
      </w:r>
      <w:r>
        <w:rPr>
          <w:rFonts w:hint="eastAsia" w:ascii="宋体" w:hAnsi="宋体"/>
          <w:sz w:val="24"/>
        </w:rPr>
        <w:t>响应文件的签章和签名要求：按照响应文件格式，响应文件需要企业、法定代表人签章及签名。</w:t>
      </w:r>
    </w:p>
    <w:p>
      <w:pPr>
        <w:spacing w:line="460" w:lineRule="exact"/>
        <w:ind w:firstLine="480" w:firstLineChars="200"/>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因复印、扫描、拍摄模糊，字迹潦草，表达不清，未按要求填写而导致非唯一理解，造成未实质性响应谈判文件的响应文件将会被认定为无效的投标。</w:t>
      </w:r>
    </w:p>
    <w:p>
      <w:pPr>
        <w:spacing w:line="460" w:lineRule="exact"/>
        <w:ind w:firstLine="480" w:firstLineChars="200"/>
        <w:rPr>
          <w:rFonts w:ascii="宋体" w:hAnsi="宋体"/>
          <w:sz w:val="24"/>
        </w:rPr>
      </w:pPr>
      <w:bookmarkStart w:id="112" w:name="_Toc4359"/>
      <w:r>
        <w:rPr>
          <w:rFonts w:hint="eastAsia" w:ascii="宋体" w:hAnsi="宋体"/>
          <w:sz w:val="24"/>
        </w:rPr>
        <w:t>21.谈判保证金</w:t>
      </w:r>
      <w:bookmarkEnd w:id="112"/>
    </w:p>
    <w:p>
      <w:pPr>
        <w:spacing w:line="460" w:lineRule="exact"/>
        <w:ind w:firstLine="480" w:firstLineChars="200"/>
        <w:rPr>
          <w:rFonts w:ascii="宋体" w:hAnsi="宋体"/>
          <w:sz w:val="24"/>
        </w:rPr>
      </w:pPr>
      <w:r>
        <w:rPr>
          <w:rFonts w:hint="eastAsia" w:ascii="宋体" w:hAnsi="宋体"/>
          <w:sz w:val="24"/>
        </w:rPr>
        <w:t>21</w:t>
      </w:r>
      <w:r>
        <w:rPr>
          <w:rFonts w:ascii="宋体" w:hAnsi="宋体"/>
          <w:sz w:val="24"/>
        </w:rPr>
        <w:t xml:space="preserve">.1 </w:t>
      </w:r>
      <w:r>
        <w:rPr>
          <w:rFonts w:hint="eastAsia" w:ascii="宋体" w:hAnsi="宋体"/>
          <w:sz w:val="24"/>
        </w:rPr>
        <w:t>谈判保证金为人民币，供应商应在递交响应文件截止时间以前按“供应商须知前附表”规定的方式及金额交纳谈判保证金，并在投标有效期内保持有效。</w:t>
      </w:r>
    </w:p>
    <w:p>
      <w:pPr>
        <w:spacing w:line="460" w:lineRule="exact"/>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2未成交供应商的保证金，未成交供应商的保证金在评标结束后当场退还。成交供应商的保证金，自采购合同签订完毕并按规定办理合同归档手续后</w:t>
      </w:r>
      <w:r>
        <w:rPr>
          <w:rFonts w:ascii="宋体" w:hAnsi="宋体"/>
          <w:sz w:val="24"/>
        </w:rPr>
        <w:t>5</w:t>
      </w:r>
      <w:r>
        <w:rPr>
          <w:rFonts w:hint="eastAsia" w:ascii="宋体" w:hAnsi="宋体"/>
          <w:sz w:val="24"/>
        </w:rPr>
        <w:t>个工作日内，无息退还至供应商。</w:t>
      </w:r>
    </w:p>
    <w:p>
      <w:pPr>
        <w:spacing w:line="460" w:lineRule="exact"/>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3有下列情形之一的，谈判保证金不予退还：</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）供应商在提交响应文件截止时间后撤回响应文件的；</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）供应商在响应文件中提供虚假材料的；</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）除因不可抗力或谈判文件认可的情形以外，成交供应商不与采购人签订合同的；</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）供应商与采购人、其他供应商或者采购代理机构恶意串通的；</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）谈判文件规定的其他情形。</w:t>
      </w:r>
    </w:p>
    <w:p>
      <w:pPr>
        <w:pStyle w:val="4"/>
        <w:spacing w:before="0" w:line="240" w:lineRule="atLeast"/>
        <w:ind w:left="0" w:firstLine="482" w:firstLineChars="200"/>
        <w:rPr>
          <w:rFonts w:ascii="宋体" w:hAnsi="宋体" w:eastAsia="宋体"/>
          <w:sz w:val="24"/>
          <w:szCs w:val="24"/>
        </w:rPr>
      </w:pPr>
      <w:bookmarkStart w:id="113" w:name="_Toc16736"/>
      <w:bookmarkStart w:id="114" w:name="_Toc84455573"/>
      <w:bookmarkStart w:id="115" w:name="_Toc25217_WPSOffice_Level2"/>
      <w:bookmarkStart w:id="116" w:name="_Toc60996680"/>
      <w:bookmarkStart w:id="117" w:name="_Toc19285_WPSOffice_Level1"/>
      <w:bookmarkStart w:id="118" w:name="_Toc17346_WPSOffice_Level1"/>
      <w:bookmarkStart w:id="119" w:name="_四、投标文件的提交"/>
      <w:r>
        <w:rPr>
          <w:rFonts w:hint="eastAsia" w:ascii="宋体" w:hAnsi="宋体" w:eastAsia="宋体"/>
          <w:sz w:val="24"/>
          <w:szCs w:val="24"/>
        </w:rPr>
        <w:t>四、响应文件的提交</w:t>
      </w:r>
      <w:bookmarkEnd w:id="113"/>
      <w:bookmarkEnd w:id="114"/>
      <w:bookmarkEnd w:id="115"/>
      <w:bookmarkEnd w:id="116"/>
      <w:bookmarkEnd w:id="117"/>
      <w:bookmarkEnd w:id="118"/>
    </w:p>
    <w:bookmarkEnd w:id="119"/>
    <w:p>
      <w:pPr>
        <w:spacing w:line="460" w:lineRule="exact"/>
        <w:ind w:firstLine="480" w:firstLineChars="200"/>
        <w:rPr>
          <w:rFonts w:ascii="宋体" w:hAnsi="宋体"/>
          <w:sz w:val="24"/>
        </w:rPr>
      </w:pPr>
      <w:bookmarkStart w:id="120" w:name="_Toc20426"/>
      <w:r>
        <w:rPr>
          <w:rFonts w:hint="eastAsia" w:ascii="宋体" w:hAnsi="宋体"/>
          <w:sz w:val="24"/>
        </w:rPr>
        <w:t>22.响应文件的密封与提交</w:t>
      </w:r>
      <w:bookmarkEnd w:id="120"/>
    </w:p>
    <w:p>
      <w:pPr>
        <w:spacing w:line="460" w:lineRule="exact"/>
        <w:ind w:firstLine="480" w:firstLineChars="200"/>
        <w:rPr>
          <w:rFonts w:ascii="宋体" w:hAnsi="宋体"/>
          <w:sz w:val="24"/>
        </w:rPr>
      </w:pPr>
      <w:r>
        <w:rPr>
          <w:rFonts w:hint="eastAsia" w:ascii="宋体" w:hAnsi="宋体"/>
          <w:sz w:val="24"/>
        </w:rPr>
        <w:t>22.1申请文件的装订要求：申请文件的正本与副本应分别装订成册，密封于一个包内，不得采用活页夹。申请文件应编制目录，并且逐页标注连续页码，否则，采购人对由于申请文件装订松散而造成的丢失或其他后果不承担任何责任。</w:t>
      </w:r>
    </w:p>
    <w:p>
      <w:pPr>
        <w:spacing w:line="460" w:lineRule="exact"/>
        <w:ind w:firstLine="480" w:firstLineChars="200"/>
        <w:rPr>
          <w:rFonts w:ascii="宋体" w:hAnsi="宋体"/>
          <w:sz w:val="24"/>
        </w:rPr>
      </w:pPr>
      <w:r>
        <w:rPr>
          <w:rFonts w:hint="eastAsia" w:ascii="宋体" w:hAnsi="宋体"/>
          <w:sz w:val="24"/>
        </w:rPr>
        <w:t>22.2在申请文件密封袋上应：</w:t>
      </w:r>
    </w:p>
    <w:p>
      <w:pPr>
        <w:spacing w:line="460" w:lineRule="exact"/>
        <w:ind w:firstLine="480" w:firstLineChars="200"/>
        <w:rPr>
          <w:rFonts w:ascii="宋体" w:hAnsi="宋体"/>
          <w:sz w:val="24"/>
        </w:rPr>
      </w:pPr>
      <w:r>
        <w:rPr>
          <w:rFonts w:hint="eastAsia" w:ascii="宋体" w:hAnsi="宋体"/>
          <w:sz w:val="24"/>
        </w:rPr>
        <w:t>22.2.1写明项目名称；</w:t>
      </w:r>
    </w:p>
    <w:p>
      <w:pPr>
        <w:spacing w:line="460" w:lineRule="exact"/>
        <w:ind w:firstLine="480" w:firstLineChars="200"/>
        <w:rPr>
          <w:rFonts w:ascii="宋体" w:hAnsi="宋体"/>
          <w:sz w:val="24"/>
        </w:rPr>
      </w:pPr>
      <w:r>
        <w:rPr>
          <w:rFonts w:hint="eastAsia" w:ascii="宋体" w:hAnsi="宋体"/>
          <w:sz w:val="24"/>
        </w:rPr>
        <w:t>22.2.2注明下列识别标志：</w:t>
      </w:r>
    </w:p>
    <w:p>
      <w:pPr>
        <w:spacing w:line="460" w:lineRule="exact"/>
        <w:ind w:firstLine="480" w:firstLineChars="200"/>
        <w:rPr>
          <w:rFonts w:ascii="宋体" w:hAnsi="宋体"/>
          <w:sz w:val="24"/>
        </w:rPr>
      </w:pPr>
      <w:r>
        <w:rPr>
          <w:rFonts w:hint="eastAsia" w:ascii="宋体" w:hAnsi="宋体"/>
          <w:sz w:val="24"/>
        </w:rPr>
        <w:t>（1）谈判项目编号；</w:t>
      </w:r>
    </w:p>
    <w:p>
      <w:pPr>
        <w:spacing w:line="460" w:lineRule="exact"/>
        <w:ind w:firstLine="480" w:firstLineChars="200"/>
        <w:rPr>
          <w:rFonts w:ascii="宋体" w:hAnsi="宋体"/>
          <w:sz w:val="24"/>
        </w:rPr>
      </w:pPr>
      <w:r>
        <w:rPr>
          <w:rFonts w:hint="eastAsia" w:ascii="宋体" w:hAnsi="宋体"/>
          <w:sz w:val="24"/>
        </w:rPr>
        <w:t>（2）（项目名称）申请文件；</w:t>
      </w:r>
    </w:p>
    <w:p>
      <w:pPr>
        <w:spacing w:line="460" w:lineRule="exact"/>
        <w:ind w:firstLine="480" w:firstLineChars="200"/>
        <w:rPr>
          <w:rFonts w:ascii="宋体" w:hAnsi="宋体"/>
          <w:sz w:val="24"/>
        </w:rPr>
      </w:pPr>
      <w:r>
        <w:rPr>
          <w:rFonts w:hint="eastAsia" w:ascii="宋体" w:hAnsi="宋体"/>
          <w:sz w:val="24"/>
        </w:rPr>
        <w:t>（3）供应商名称（盖章）；</w:t>
      </w:r>
    </w:p>
    <w:p>
      <w:pPr>
        <w:spacing w:line="460" w:lineRule="exact"/>
        <w:ind w:firstLine="480" w:firstLineChars="200"/>
        <w:rPr>
          <w:rFonts w:ascii="宋体" w:hAnsi="宋体"/>
          <w:sz w:val="24"/>
        </w:rPr>
      </w:pPr>
      <w:r>
        <w:rPr>
          <w:rFonts w:hint="eastAsia" w:ascii="宋体" w:hAnsi="宋体"/>
          <w:sz w:val="24"/>
        </w:rPr>
        <w:t>（4）法定代表人或其委托代理人（签字）；</w:t>
      </w:r>
    </w:p>
    <w:p>
      <w:pPr>
        <w:spacing w:line="460" w:lineRule="exact"/>
        <w:ind w:firstLine="480" w:firstLineChars="200"/>
        <w:rPr>
          <w:rFonts w:ascii="宋体" w:hAnsi="宋体"/>
          <w:sz w:val="24"/>
          <w:highlight w:val="none"/>
        </w:rPr>
      </w:pPr>
      <w:r>
        <w:rPr>
          <w:rFonts w:hint="eastAsia" w:ascii="宋体" w:hAnsi="宋体"/>
          <w:sz w:val="24"/>
          <w:highlight w:val="none"/>
        </w:rPr>
        <w:t>（5）2021年07 月1</w:t>
      </w:r>
      <w:r>
        <w:rPr>
          <w:rFonts w:hint="eastAsia" w:ascii="宋体" w:hAnsi="宋体"/>
          <w:sz w:val="24"/>
          <w:highlight w:val="none"/>
          <w:lang w:val="en-US" w:eastAsia="zh-CN"/>
        </w:rPr>
        <w:t>5</w:t>
      </w:r>
      <w:r>
        <w:rPr>
          <w:rFonts w:hint="eastAsia" w:ascii="宋体" w:hAnsi="宋体"/>
          <w:sz w:val="24"/>
          <w:highlight w:val="none"/>
        </w:rPr>
        <w:t>日</w:t>
      </w:r>
      <w:r>
        <w:rPr>
          <w:rFonts w:hint="eastAsia" w:ascii="宋体" w:hAnsi="宋体"/>
          <w:sz w:val="24"/>
          <w:highlight w:val="none"/>
          <w:lang w:eastAsia="zh-CN"/>
        </w:rPr>
        <w:t>上</w:t>
      </w:r>
      <w:r>
        <w:rPr>
          <w:rFonts w:hint="eastAsia" w:ascii="宋体" w:hAnsi="宋体"/>
          <w:sz w:val="24"/>
          <w:highlight w:val="none"/>
        </w:rPr>
        <w:t>午</w:t>
      </w:r>
      <w:r>
        <w:rPr>
          <w:rFonts w:hint="eastAsia" w:ascii="宋体" w:hAnsi="宋体"/>
          <w:sz w:val="24"/>
          <w:highlight w:val="none"/>
          <w:lang w:val="en-US" w:eastAsia="zh-CN"/>
        </w:rPr>
        <w:t>9点</w:t>
      </w:r>
      <w:r>
        <w:rPr>
          <w:rFonts w:hint="eastAsia" w:ascii="宋体" w:hAnsi="宋体"/>
          <w:sz w:val="24"/>
          <w:highlight w:val="none"/>
        </w:rPr>
        <w:t>30</w:t>
      </w:r>
      <w:r>
        <w:rPr>
          <w:rFonts w:hint="eastAsia" w:ascii="宋体" w:hAnsi="宋体"/>
          <w:sz w:val="24"/>
          <w:highlight w:val="none"/>
          <w:lang w:eastAsia="zh-CN"/>
        </w:rPr>
        <w:t>分</w:t>
      </w:r>
      <w:r>
        <w:rPr>
          <w:rFonts w:hint="eastAsia" w:ascii="宋体" w:hAnsi="宋体"/>
          <w:sz w:val="24"/>
          <w:highlight w:val="none"/>
        </w:rPr>
        <w:t>竞争性谈判</w:t>
      </w:r>
      <w:r>
        <w:rPr>
          <w:rFonts w:hint="eastAsia" w:ascii="宋体" w:hAnsi="宋体"/>
          <w:sz w:val="24"/>
          <w:highlight w:val="none"/>
          <w:lang w:eastAsia="zh-CN"/>
        </w:rPr>
        <w:t>开始</w:t>
      </w:r>
      <w:r>
        <w:rPr>
          <w:rFonts w:hint="eastAsia" w:ascii="宋体" w:hAnsi="宋体"/>
          <w:sz w:val="24"/>
          <w:highlight w:val="none"/>
        </w:rPr>
        <w:t>，此时间以前不得开封。</w:t>
      </w:r>
    </w:p>
    <w:p>
      <w:pPr>
        <w:spacing w:line="460" w:lineRule="exact"/>
        <w:ind w:firstLine="480" w:firstLineChars="200"/>
        <w:rPr>
          <w:rFonts w:ascii="宋体" w:hAnsi="宋体"/>
          <w:sz w:val="24"/>
        </w:rPr>
      </w:pPr>
      <w:r>
        <w:rPr>
          <w:rFonts w:hint="eastAsia" w:ascii="宋体" w:hAnsi="宋体"/>
          <w:sz w:val="24"/>
        </w:rPr>
        <w:t>22.3如果申请文件没有按本谈判须知第22.1款、第22.2款的规定装订和加写标记及密封，采购人将不承担申请文件提前开封的责任。对由此造成提前开封的申请文件将予以拒绝，并退还给供应商。</w:t>
      </w:r>
    </w:p>
    <w:p>
      <w:pPr>
        <w:spacing w:line="460" w:lineRule="exact"/>
        <w:ind w:firstLine="480" w:firstLineChars="200"/>
        <w:rPr>
          <w:rFonts w:hAnsi="宋体"/>
          <w:sz w:val="24"/>
        </w:rPr>
      </w:pPr>
      <w:r>
        <w:rPr>
          <w:rFonts w:hint="eastAsia" w:ascii="宋体" w:hAnsi="宋体"/>
          <w:sz w:val="24"/>
        </w:rPr>
        <w:t>22.4所有申请文件的外层密封的封口处应加盖密封章。</w:t>
      </w:r>
    </w:p>
    <w:p>
      <w:pPr>
        <w:pStyle w:val="4"/>
        <w:spacing w:before="0" w:line="240" w:lineRule="atLeast"/>
        <w:ind w:left="0" w:firstLine="482" w:firstLineChars="200"/>
        <w:rPr>
          <w:rFonts w:ascii="宋体" w:hAnsi="宋体" w:eastAsia="宋体"/>
          <w:sz w:val="24"/>
          <w:szCs w:val="24"/>
        </w:rPr>
      </w:pPr>
      <w:bookmarkStart w:id="121" w:name="_Toc84455574"/>
      <w:bookmarkStart w:id="122" w:name="_Toc69565538"/>
      <w:bookmarkStart w:id="123" w:name="_Toc17391"/>
      <w:r>
        <w:rPr>
          <w:rFonts w:hint="eastAsia" w:ascii="宋体" w:hAnsi="宋体" w:eastAsia="宋体"/>
          <w:sz w:val="24"/>
          <w:szCs w:val="24"/>
        </w:rPr>
        <w:t>五、响应文件开启</w:t>
      </w:r>
      <w:bookmarkEnd w:id="121"/>
      <w:bookmarkEnd w:id="122"/>
      <w:bookmarkEnd w:id="123"/>
    </w:p>
    <w:p>
      <w:pPr>
        <w:pStyle w:val="17"/>
        <w:adjustRightInd w:val="0"/>
        <w:spacing w:line="440" w:lineRule="exact"/>
        <w:ind w:firstLine="480" w:firstLineChars="200"/>
        <w:rPr>
          <w:rFonts w:hAnsi="宋体" w:cs="宋体"/>
          <w:sz w:val="24"/>
          <w:szCs w:val="24"/>
        </w:rPr>
      </w:pPr>
      <w:r>
        <w:rPr>
          <w:rFonts w:hint="eastAsia" w:hAnsi="宋体" w:cs="宋体"/>
          <w:sz w:val="24"/>
          <w:szCs w:val="24"/>
        </w:rPr>
        <w:t>23. 开启</w:t>
      </w:r>
    </w:p>
    <w:p>
      <w:pPr>
        <w:adjustRightInd w:val="0"/>
        <w:spacing w:line="440" w:lineRule="exact"/>
        <w:ind w:firstLine="460" w:firstLineChars="192"/>
        <w:rPr>
          <w:rFonts w:ascii="宋体" w:hAnsi="宋体" w:cs="宋体"/>
          <w:sz w:val="24"/>
        </w:rPr>
      </w:pPr>
      <w:r>
        <w:rPr>
          <w:rFonts w:hint="eastAsia" w:ascii="宋体" w:hAnsi="宋体" w:cs="宋体"/>
          <w:sz w:val="24"/>
        </w:rPr>
        <w:t xml:space="preserve">23.1采购人按本须知前附表所规定的时间和地点开始谈判，并邀请所有供应商参加，供应商法定代表人或授权代理人必须到谈判现场。 </w:t>
      </w:r>
    </w:p>
    <w:p>
      <w:pPr>
        <w:adjustRightInd w:val="0"/>
        <w:spacing w:line="440" w:lineRule="exact"/>
        <w:ind w:firstLine="460" w:firstLineChars="192"/>
        <w:rPr>
          <w:rFonts w:ascii="宋体" w:hAnsi="宋体" w:cs="宋体"/>
          <w:sz w:val="24"/>
        </w:rPr>
      </w:pPr>
      <w:r>
        <w:rPr>
          <w:rFonts w:hint="eastAsia" w:ascii="宋体" w:hAnsi="宋体" w:cs="宋体"/>
          <w:sz w:val="24"/>
        </w:rPr>
        <w:t>23.2 谈判程序</w:t>
      </w:r>
    </w:p>
    <w:p>
      <w:pPr>
        <w:adjustRightInd w:val="0"/>
        <w:spacing w:line="440" w:lineRule="exact"/>
        <w:ind w:firstLine="460" w:firstLineChars="192"/>
        <w:rPr>
          <w:rFonts w:ascii="宋体" w:hAnsi="宋体" w:cs="宋体"/>
          <w:sz w:val="24"/>
        </w:rPr>
      </w:pPr>
      <w:r>
        <w:rPr>
          <w:rFonts w:hint="eastAsia" w:ascii="宋体" w:hAnsi="宋体" w:cs="宋体"/>
          <w:sz w:val="24"/>
        </w:rPr>
        <w:t>（1）谈判会议由楚雄医药高等专科学校招标采购工作人员主持，所有供应商应准时参加。</w:t>
      </w:r>
    </w:p>
    <w:p>
      <w:pPr>
        <w:adjustRightInd w:val="0"/>
        <w:spacing w:line="440" w:lineRule="exact"/>
        <w:ind w:firstLine="460" w:firstLineChars="192"/>
        <w:rPr>
          <w:rFonts w:ascii="宋体" w:hAnsi="宋体" w:cs="宋体"/>
          <w:sz w:val="24"/>
        </w:rPr>
      </w:pPr>
      <w:r>
        <w:rPr>
          <w:rFonts w:hint="eastAsia" w:ascii="宋体" w:hAnsi="宋体" w:cs="宋体"/>
          <w:sz w:val="24"/>
        </w:rPr>
        <w:t>（2）宣布谈判纪律</w:t>
      </w:r>
    </w:p>
    <w:p>
      <w:pPr>
        <w:adjustRightInd w:val="0"/>
        <w:spacing w:line="440" w:lineRule="exact"/>
        <w:ind w:firstLine="460" w:firstLineChars="192"/>
        <w:rPr>
          <w:rFonts w:ascii="宋体" w:hAnsi="宋体" w:cs="宋体"/>
          <w:sz w:val="24"/>
        </w:rPr>
      </w:pPr>
      <w:r>
        <w:rPr>
          <w:rFonts w:hint="eastAsia" w:ascii="宋体" w:hAnsi="宋体" w:cs="宋体"/>
          <w:sz w:val="24"/>
        </w:rPr>
        <w:t>（3）宣布参会单位及代表</w:t>
      </w:r>
    </w:p>
    <w:p>
      <w:pPr>
        <w:adjustRightInd w:val="0"/>
        <w:spacing w:line="440" w:lineRule="exact"/>
        <w:ind w:firstLine="460" w:firstLineChars="192"/>
        <w:rPr>
          <w:rFonts w:ascii="宋体" w:hAnsi="宋体" w:cs="宋体"/>
          <w:sz w:val="24"/>
        </w:rPr>
      </w:pPr>
      <w:r>
        <w:rPr>
          <w:rFonts w:hint="eastAsia" w:ascii="宋体" w:hAnsi="宋体" w:cs="宋体"/>
          <w:sz w:val="24"/>
        </w:rPr>
        <w:t>（4）采购人公布采购控制价</w:t>
      </w:r>
    </w:p>
    <w:p>
      <w:pPr>
        <w:adjustRightInd w:val="0"/>
        <w:spacing w:line="440" w:lineRule="exact"/>
        <w:ind w:firstLine="460" w:firstLineChars="192"/>
        <w:rPr>
          <w:rFonts w:ascii="宋体" w:hAnsi="宋体" w:cs="宋体"/>
          <w:sz w:val="24"/>
        </w:rPr>
      </w:pPr>
      <w:r>
        <w:rPr>
          <w:rFonts w:hint="eastAsia" w:ascii="宋体" w:hAnsi="宋体" w:cs="宋体"/>
          <w:sz w:val="24"/>
        </w:rPr>
        <w:t>（5）申请文件密封检查顺序：按照所有供应商的递交顺序对申请文件进行密封检查。</w:t>
      </w:r>
    </w:p>
    <w:p>
      <w:pPr>
        <w:adjustRightInd w:val="0"/>
        <w:spacing w:line="440" w:lineRule="exact"/>
        <w:ind w:firstLine="460" w:firstLineChars="192"/>
        <w:rPr>
          <w:rFonts w:ascii="宋体" w:hAnsi="宋体" w:cs="宋体"/>
          <w:sz w:val="24"/>
        </w:rPr>
      </w:pPr>
      <w:r>
        <w:rPr>
          <w:rFonts w:hint="eastAsia" w:ascii="宋体" w:hAnsi="宋体" w:cs="宋体"/>
          <w:sz w:val="24"/>
        </w:rPr>
        <w:t>23.3 采购人将在“</w:t>
      </w:r>
      <w:r>
        <w:rPr>
          <w:rFonts w:hint="eastAsia" w:ascii="宋体" w:hAnsi="宋体"/>
          <w:sz w:val="24"/>
        </w:rPr>
        <w:t>供应商须知前附表</w:t>
      </w:r>
      <w:r>
        <w:rPr>
          <w:rFonts w:hint="eastAsia" w:ascii="宋体" w:hAnsi="宋体" w:cs="宋体"/>
          <w:sz w:val="24"/>
        </w:rPr>
        <w:t>”规定的时间和地点进行谈判，供应商的法定代表人或其委托代理人应参加谈判会，如供应商未出席谈判会由此产生的后果由供应商自行负责。</w:t>
      </w:r>
    </w:p>
    <w:p>
      <w:pPr>
        <w:adjustRightInd w:val="0"/>
        <w:spacing w:line="440" w:lineRule="exact"/>
        <w:ind w:firstLine="460" w:firstLineChars="192"/>
        <w:rPr>
          <w:rFonts w:ascii="宋体" w:hAnsi="宋体" w:cs="宋体"/>
          <w:sz w:val="24"/>
        </w:rPr>
      </w:pPr>
      <w:r>
        <w:rPr>
          <w:rFonts w:hint="eastAsia" w:ascii="宋体" w:hAnsi="宋体" w:cs="宋体"/>
          <w:sz w:val="24"/>
        </w:rPr>
        <w:t>23.4谈判工作人员将做谈判记录，供应商对须签字确认。</w:t>
      </w:r>
    </w:p>
    <w:p>
      <w:pPr>
        <w:adjustRightInd w:val="0"/>
        <w:spacing w:line="440" w:lineRule="exact"/>
        <w:ind w:firstLine="460" w:firstLineChars="192"/>
        <w:rPr>
          <w:rFonts w:ascii="宋体" w:hAnsi="宋体" w:cs="宋体"/>
          <w:sz w:val="24"/>
        </w:rPr>
      </w:pPr>
      <w:r>
        <w:rPr>
          <w:rFonts w:hint="eastAsia" w:ascii="宋体" w:hAnsi="宋体" w:cs="宋体"/>
          <w:sz w:val="24"/>
        </w:rPr>
        <w:t>23.5供应商对谈判有异议的，应当在谈判现场提出，采购人应当当场作出答复，并制作记录。</w:t>
      </w:r>
    </w:p>
    <w:p>
      <w:pPr>
        <w:adjustRightInd w:val="0"/>
        <w:snapToGrid w:val="0"/>
        <w:spacing w:before="120" w:beforeLines="50" w:line="360" w:lineRule="auto"/>
        <w:ind w:left="657" w:leftChars="200" w:hanging="237" w:hangingChars="99"/>
        <w:rPr>
          <w:rFonts w:ascii="宋体" w:hAnsi="宋体"/>
          <w:b/>
          <w:kern w:val="0"/>
          <w:sz w:val="24"/>
        </w:rPr>
      </w:pPr>
      <w:r>
        <w:rPr>
          <w:rFonts w:hint="eastAsia" w:ascii="宋体" w:hAnsi="宋体"/>
          <w:sz w:val="24"/>
        </w:rPr>
        <w:t>六、</w:t>
      </w:r>
      <w:r>
        <w:rPr>
          <w:rFonts w:hint="eastAsia" w:ascii="宋体" w:hAnsi="宋体"/>
          <w:b/>
          <w:kern w:val="0"/>
          <w:sz w:val="24"/>
        </w:rPr>
        <w:t>响应文件的评审与谈判</w:t>
      </w:r>
    </w:p>
    <w:p>
      <w:pPr>
        <w:spacing w:line="460" w:lineRule="exact"/>
        <w:ind w:firstLine="480" w:firstLineChars="200"/>
        <w:rPr>
          <w:rFonts w:ascii="宋体" w:hAnsi="宋体"/>
          <w:sz w:val="24"/>
        </w:rPr>
      </w:pPr>
      <w:r>
        <w:rPr>
          <w:rFonts w:hint="eastAsia" w:ascii="宋体" w:hAnsi="宋体"/>
          <w:sz w:val="24"/>
        </w:rPr>
        <w:t>24.谈判小组组建：</w:t>
      </w:r>
    </w:p>
    <w:p>
      <w:pPr>
        <w:spacing w:line="460" w:lineRule="exact"/>
        <w:ind w:firstLine="480" w:firstLineChars="200"/>
        <w:rPr>
          <w:rFonts w:ascii="宋体" w:hAnsi="宋体"/>
          <w:sz w:val="24"/>
        </w:rPr>
      </w:pPr>
      <w:r>
        <w:rPr>
          <w:rFonts w:hint="eastAsia" w:ascii="宋体" w:hAnsi="宋体"/>
          <w:sz w:val="24"/>
        </w:rPr>
        <w:t>24.1采购人与集采机构将根据采购项目的特点依法组建谈判小组，其成员由评审专家和采购人代表共3人以上单数组成，其中评审专家人数不得少于竞争性谈判小组成员总数的2/3。谈判小组负责对供应商资格进行核查；对响应文件进行审查；谈判、对报价进行评价以及推荐或确定成交供应商。</w:t>
      </w:r>
    </w:p>
    <w:p>
      <w:pPr>
        <w:spacing w:line="460" w:lineRule="exact"/>
        <w:ind w:firstLine="480" w:firstLineChars="200"/>
        <w:rPr>
          <w:rFonts w:ascii="宋体" w:hAnsi="宋体"/>
          <w:sz w:val="24"/>
        </w:rPr>
      </w:pPr>
      <w:r>
        <w:rPr>
          <w:rFonts w:hint="eastAsia" w:ascii="宋体" w:hAnsi="宋体"/>
          <w:sz w:val="24"/>
        </w:rPr>
        <w:t>24.2.谈判小组成员与供应商存在利害关系的，应当回避。</w:t>
      </w:r>
    </w:p>
    <w:p>
      <w:pPr>
        <w:spacing w:line="460" w:lineRule="exact"/>
        <w:ind w:firstLine="480" w:firstLineChars="200"/>
        <w:rPr>
          <w:rFonts w:ascii="宋体" w:hAnsi="宋体"/>
          <w:sz w:val="24"/>
        </w:rPr>
      </w:pPr>
      <w:r>
        <w:rPr>
          <w:rFonts w:hint="eastAsia" w:ascii="宋体" w:hAnsi="宋体"/>
          <w:sz w:val="24"/>
        </w:rPr>
        <w:t>25.评审</w:t>
      </w:r>
    </w:p>
    <w:p>
      <w:pPr>
        <w:spacing w:line="460" w:lineRule="exact"/>
        <w:ind w:firstLine="480" w:firstLineChars="200"/>
        <w:rPr>
          <w:rFonts w:ascii="宋体" w:hAnsi="宋体"/>
          <w:sz w:val="24"/>
        </w:rPr>
      </w:pPr>
      <w:r>
        <w:rPr>
          <w:rFonts w:hint="eastAsia" w:ascii="宋体" w:hAnsi="宋体"/>
          <w:sz w:val="24"/>
        </w:rPr>
        <w:t>25.1评审原则</w:t>
      </w:r>
    </w:p>
    <w:p>
      <w:pPr>
        <w:spacing w:line="460" w:lineRule="exact"/>
        <w:ind w:firstLine="480" w:firstLineChars="200"/>
        <w:rPr>
          <w:rFonts w:ascii="宋体" w:hAnsi="宋体"/>
          <w:sz w:val="24"/>
        </w:rPr>
      </w:pPr>
      <w:r>
        <w:rPr>
          <w:rFonts w:hint="eastAsia" w:ascii="宋体" w:hAnsi="宋体"/>
          <w:sz w:val="24"/>
        </w:rPr>
        <w:t>评审活动遵循公平、公正、科学和择优的原则。</w:t>
      </w:r>
    </w:p>
    <w:p>
      <w:pPr>
        <w:spacing w:line="460" w:lineRule="exact"/>
        <w:ind w:firstLine="480" w:firstLineChars="200"/>
        <w:rPr>
          <w:rFonts w:ascii="宋体" w:hAnsi="宋体"/>
          <w:sz w:val="24"/>
        </w:rPr>
      </w:pPr>
      <w:r>
        <w:rPr>
          <w:rFonts w:hint="eastAsia" w:ascii="宋体" w:hAnsi="宋体"/>
          <w:sz w:val="24"/>
        </w:rPr>
        <w:t>25.2评审程序</w:t>
      </w:r>
    </w:p>
    <w:p>
      <w:pPr>
        <w:spacing w:line="460" w:lineRule="exact"/>
        <w:ind w:firstLine="480" w:firstLineChars="200"/>
        <w:rPr>
          <w:rFonts w:ascii="宋体" w:hAnsi="宋体"/>
          <w:sz w:val="24"/>
        </w:rPr>
      </w:pPr>
      <w:r>
        <w:rPr>
          <w:rFonts w:hint="eastAsia" w:ascii="宋体" w:hAnsi="宋体"/>
          <w:sz w:val="24"/>
        </w:rPr>
        <w:t>25.2.1供应商的资格审查</w:t>
      </w:r>
    </w:p>
    <w:p>
      <w:pPr>
        <w:spacing w:line="460" w:lineRule="exact"/>
        <w:ind w:firstLine="480" w:firstLineChars="200"/>
        <w:rPr>
          <w:rFonts w:ascii="宋体" w:hAnsi="宋体"/>
          <w:sz w:val="24"/>
        </w:rPr>
      </w:pPr>
      <w:r>
        <w:rPr>
          <w:rFonts w:hint="eastAsia" w:ascii="宋体" w:hAnsi="宋体"/>
          <w:sz w:val="24"/>
        </w:rPr>
        <w:t>谈判小组</w:t>
      </w:r>
      <w:r>
        <w:rPr>
          <w:rFonts w:ascii="宋体" w:hAnsi="宋体"/>
          <w:sz w:val="24"/>
        </w:rPr>
        <w:t>依据法律法规和谈判文件的规定，对响应文件中的资格证明文件等进行审查，以确定投标供应商是否具备投标资格。</w:t>
      </w:r>
      <w:r>
        <w:rPr>
          <w:rFonts w:hint="eastAsia" w:ascii="宋体" w:hAnsi="宋体"/>
          <w:sz w:val="24"/>
        </w:rPr>
        <w:t>供应商不满足资格条件的，在评审时将其视为无效响应。</w:t>
      </w:r>
    </w:p>
    <w:p>
      <w:pPr>
        <w:spacing w:line="460" w:lineRule="exact"/>
        <w:ind w:firstLine="480" w:firstLineChars="200"/>
        <w:rPr>
          <w:rFonts w:ascii="宋体" w:hAnsi="宋体"/>
          <w:sz w:val="24"/>
        </w:rPr>
      </w:pPr>
      <w:r>
        <w:rPr>
          <w:rFonts w:hint="eastAsia" w:ascii="宋体" w:hAnsi="宋体"/>
          <w:sz w:val="24"/>
        </w:rPr>
        <w:t>谈判小组可以要求供应商提交有关证明和证件的原件以便核验。</w:t>
      </w:r>
    </w:p>
    <w:p>
      <w:pPr>
        <w:spacing w:line="460" w:lineRule="exact"/>
        <w:ind w:firstLine="480" w:firstLineChars="200"/>
        <w:rPr>
          <w:rFonts w:ascii="宋体" w:hAnsi="宋体"/>
          <w:sz w:val="24"/>
        </w:rPr>
      </w:pPr>
      <w:r>
        <w:rPr>
          <w:rFonts w:hint="eastAsia" w:ascii="宋体" w:hAnsi="宋体"/>
          <w:sz w:val="24"/>
        </w:rPr>
        <w:t>25.2.2响应文件的符合性审查</w:t>
      </w:r>
    </w:p>
    <w:p>
      <w:pPr>
        <w:spacing w:line="460" w:lineRule="exact"/>
        <w:ind w:firstLine="480" w:firstLineChars="200"/>
        <w:rPr>
          <w:rFonts w:ascii="宋体" w:hAnsi="宋体"/>
          <w:sz w:val="24"/>
        </w:rPr>
      </w:pPr>
      <w:r>
        <w:rPr>
          <w:rFonts w:hint="eastAsia" w:ascii="宋体" w:hAnsi="宋体"/>
          <w:sz w:val="24"/>
        </w:rPr>
        <w:t>谈判小组按照谈判文件的规定，</w:t>
      </w:r>
      <w:r>
        <w:rPr>
          <w:rFonts w:ascii="宋体" w:hAnsi="宋体"/>
          <w:sz w:val="24"/>
        </w:rPr>
        <w:t>从响应文件的有效性、完整性和对谈判文件的响应程度进行审查，以确定是否对谈判文件的实质性要求作出响应。</w:t>
      </w:r>
    </w:p>
    <w:p>
      <w:pPr>
        <w:spacing w:line="460" w:lineRule="exact"/>
        <w:ind w:firstLine="480" w:firstLineChars="200"/>
        <w:rPr>
          <w:rFonts w:ascii="宋体" w:hAnsi="宋体"/>
          <w:sz w:val="24"/>
        </w:rPr>
      </w:pPr>
      <w:r>
        <w:rPr>
          <w:rFonts w:hint="eastAsia" w:ascii="宋体" w:hAnsi="宋体"/>
          <w:sz w:val="24"/>
        </w:rPr>
        <w:t>25.2.2.1供应商响应文件有下列情况之一，其响应文件无效：</w:t>
      </w:r>
    </w:p>
    <w:p>
      <w:pPr>
        <w:spacing w:line="460" w:lineRule="exact"/>
        <w:ind w:firstLine="480" w:firstLineChars="200"/>
        <w:rPr>
          <w:rFonts w:ascii="宋体" w:hAnsi="宋体"/>
          <w:sz w:val="24"/>
        </w:rPr>
      </w:pPr>
      <w:r>
        <w:rPr>
          <w:rFonts w:hint="eastAsia" w:ascii="宋体" w:hAnsi="宋体"/>
          <w:sz w:val="24"/>
        </w:rPr>
        <w:t>（1）应交未交保证金或金额不足不符合谈判文件要求的；</w:t>
      </w:r>
    </w:p>
    <w:p>
      <w:pPr>
        <w:spacing w:line="460" w:lineRule="exact"/>
        <w:ind w:firstLine="480" w:firstLineChars="200"/>
        <w:rPr>
          <w:rFonts w:ascii="宋体" w:hAnsi="宋体"/>
          <w:sz w:val="24"/>
        </w:rPr>
      </w:pPr>
      <w:r>
        <w:rPr>
          <w:rFonts w:hint="eastAsia" w:ascii="宋体" w:hAnsi="宋体"/>
          <w:sz w:val="24"/>
        </w:rPr>
        <w:t>（2）未按照谈判文件规定要求密封、签署、盖章的；</w:t>
      </w:r>
    </w:p>
    <w:p>
      <w:pPr>
        <w:spacing w:line="460" w:lineRule="exact"/>
        <w:ind w:firstLine="480" w:firstLineChars="200"/>
        <w:rPr>
          <w:rFonts w:ascii="宋体" w:hAnsi="宋体"/>
          <w:sz w:val="24"/>
        </w:rPr>
      </w:pPr>
      <w:r>
        <w:rPr>
          <w:rFonts w:hint="eastAsia" w:ascii="宋体" w:hAnsi="宋体"/>
          <w:sz w:val="24"/>
        </w:rPr>
        <w:t>（3）不实质性响应谈判文件要求的；</w:t>
      </w:r>
    </w:p>
    <w:p>
      <w:pPr>
        <w:spacing w:line="460" w:lineRule="exact"/>
        <w:ind w:firstLine="480" w:firstLineChars="200"/>
        <w:rPr>
          <w:rFonts w:ascii="宋体" w:hAnsi="宋体"/>
          <w:sz w:val="24"/>
        </w:rPr>
      </w:pPr>
      <w:r>
        <w:rPr>
          <w:rFonts w:hint="eastAsia" w:ascii="宋体" w:hAnsi="宋体"/>
          <w:sz w:val="24"/>
        </w:rPr>
        <w:t>（4）响应文件有效期不足的；</w:t>
      </w:r>
    </w:p>
    <w:p>
      <w:pPr>
        <w:spacing w:line="460" w:lineRule="exact"/>
        <w:ind w:firstLine="480" w:firstLineChars="200"/>
        <w:rPr>
          <w:rFonts w:ascii="宋体" w:hAnsi="宋体"/>
          <w:sz w:val="24"/>
        </w:rPr>
      </w:pPr>
      <w:r>
        <w:rPr>
          <w:rFonts w:hint="eastAsia" w:ascii="宋体" w:hAnsi="宋体"/>
          <w:sz w:val="24"/>
        </w:rPr>
        <w:t>（5）报价超过采购项目预算的；</w:t>
      </w:r>
    </w:p>
    <w:p>
      <w:pPr>
        <w:spacing w:line="460" w:lineRule="exact"/>
        <w:ind w:firstLine="480" w:firstLineChars="200"/>
        <w:rPr>
          <w:rFonts w:ascii="宋体" w:hAnsi="宋体"/>
          <w:sz w:val="24"/>
        </w:rPr>
      </w:pPr>
      <w:r>
        <w:rPr>
          <w:rFonts w:hint="eastAsia" w:ascii="宋体" w:hAnsi="宋体"/>
          <w:sz w:val="24"/>
        </w:rPr>
        <w:t>（6）不符合法律、法规和谈判文件规定的。</w:t>
      </w:r>
    </w:p>
    <w:p>
      <w:pPr>
        <w:spacing w:line="460" w:lineRule="exact"/>
        <w:ind w:firstLine="480" w:firstLineChars="200"/>
        <w:rPr>
          <w:rFonts w:ascii="宋体" w:hAnsi="宋体"/>
          <w:sz w:val="24"/>
        </w:rPr>
      </w:pPr>
      <w:r>
        <w:rPr>
          <w:rFonts w:hint="eastAsia" w:ascii="宋体" w:hAnsi="宋体"/>
          <w:sz w:val="24"/>
        </w:rPr>
        <w:t>25.2.2.2有下列情形之一的，视为供应商串通投标，其投标无效：</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）不同供应商的响应文件由同一单位或者个人编制；</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）不同供应商委托同一单位或者个人办理投标事宜；</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）不同供应商的响应文件载明的项目管理成员或者联系人员为同一人；</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）不同供应商的响应文件异常一致或者投标报价呈规律性差异；</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）不同供应商的响应文件相互混装；</w:t>
      </w:r>
    </w:p>
    <w:p>
      <w:pPr>
        <w:spacing w:line="460" w:lineRule="exact"/>
        <w:ind w:firstLine="480" w:firstLineChars="200"/>
        <w:rPr>
          <w:rFonts w:ascii="宋体" w:hAnsi="宋体"/>
          <w:sz w:val="24"/>
        </w:rPr>
      </w:pPr>
      <w:r>
        <w:rPr>
          <w:rFonts w:hint="eastAsia" w:ascii="宋体" w:hAnsi="宋体"/>
          <w:sz w:val="24"/>
        </w:rPr>
        <w:t>25.2.3谈判</w:t>
      </w:r>
    </w:p>
    <w:p>
      <w:pPr>
        <w:spacing w:line="460" w:lineRule="exact"/>
        <w:ind w:firstLine="480" w:firstLineChars="200"/>
        <w:rPr>
          <w:rFonts w:ascii="宋体" w:hAnsi="宋体"/>
          <w:sz w:val="24"/>
        </w:rPr>
      </w:pPr>
      <w:r>
        <w:rPr>
          <w:rFonts w:hint="eastAsia" w:ascii="宋体" w:hAnsi="宋体"/>
          <w:sz w:val="24"/>
        </w:rPr>
        <w:t>（1）</w:t>
      </w:r>
      <w:r>
        <w:rPr>
          <w:rFonts w:ascii="宋体" w:hAnsi="宋体"/>
          <w:sz w:val="24"/>
        </w:rPr>
        <w:t>谈判小组应当通过随机方式确定参加谈判供应商的谈判顺序，</w:t>
      </w:r>
      <w:r>
        <w:rPr>
          <w:rFonts w:hint="eastAsia" w:ascii="宋体" w:hAnsi="宋体"/>
          <w:sz w:val="24"/>
        </w:rPr>
        <w:t>谈判小组所有成员集中与单一供应商分别进行谈判。谈判小组将给予所有参加谈判的供应商相同的谈判机会。谈判小组将谈判轮数公开告知参加谈判的供应商。</w:t>
      </w:r>
    </w:p>
    <w:p>
      <w:pPr>
        <w:pStyle w:val="13"/>
        <w:rPr>
          <w:rFonts w:ascii="宋体" w:hAnsi="宋体"/>
          <w:kern w:val="2"/>
        </w:rPr>
      </w:pPr>
      <w:r>
        <w:rPr>
          <w:rFonts w:hint="eastAsia"/>
        </w:rPr>
        <w:t xml:space="preserve">   </w:t>
      </w:r>
      <w:r>
        <w:rPr>
          <w:rFonts w:hint="eastAsia" w:ascii="宋体" w:hAnsi="宋体"/>
        </w:rPr>
        <w:t>（2）</w:t>
      </w:r>
      <w:r>
        <w:rPr>
          <w:rFonts w:ascii="宋体" w:hAnsi="宋体"/>
          <w:kern w:val="2"/>
        </w:rPr>
        <w:t>谈判内容</w:t>
      </w:r>
    </w:p>
    <w:p>
      <w:pPr>
        <w:spacing w:line="460" w:lineRule="exact"/>
        <w:ind w:firstLine="420" w:firstLineChars="200"/>
        <w:rPr>
          <w:rFonts w:ascii="宋体" w:hAnsi="宋体"/>
          <w:sz w:val="24"/>
        </w:rPr>
      </w:pPr>
      <w:r>
        <w:rPr>
          <w:rFonts w:hint="eastAsia" w:ascii="宋体" w:hAnsi="宋体"/>
        </w:rPr>
        <w:t xml:space="preserve"> </w:t>
      </w:r>
      <w:r>
        <w:rPr>
          <w:rFonts w:ascii="宋体" w:hAnsi="宋体"/>
          <w:sz w:val="24"/>
        </w:rPr>
        <w:t>谈判内容主要包括：针对本项目的技术、服务要求以及合同草案条款等；谈判文件不能详细列明采购标的的技术、服务要求的，需经谈判由供应商提供最终设计方案或解决方案；其它需要谈判的事项。</w:t>
      </w:r>
    </w:p>
    <w:p>
      <w:pPr>
        <w:numPr>
          <w:ilvl w:val="0"/>
          <w:numId w:val="1"/>
        </w:numPr>
        <w:spacing w:line="460" w:lineRule="exact"/>
        <w:ind w:firstLine="480" w:firstLineChars="200"/>
        <w:rPr>
          <w:rFonts w:ascii="宋体" w:hAnsi="宋体"/>
          <w:sz w:val="24"/>
        </w:rPr>
      </w:pPr>
      <w:r>
        <w:rPr>
          <w:rFonts w:hint="eastAsia" w:ascii="宋体" w:hAnsi="宋体"/>
          <w:sz w:val="24"/>
        </w:rPr>
        <w:t>谈判程序</w:t>
      </w:r>
    </w:p>
    <w:p>
      <w:pPr>
        <w:spacing w:line="460" w:lineRule="exact"/>
        <w:ind w:firstLine="420" w:firstLineChars="200"/>
        <w:rPr>
          <w:rFonts w:ascii="宋体" w:hAnsi="宋体"/>
          <w:sz w:val="24"/>
        </w:rPr>
      </w:pPr>
      <w:r>
        <w:rPr>
          <w:rFonts w:hint="eastAsia"/>
        </w:rPr>
        <w:t xml:space="preserve">   </w:t>
      </w:r>
      <w:r>
        <w:rPr>
          <w:rFonts w:hint="eastAsia" w:ascii="宋体" w:hAnsi="宋体"/>
          <w:sz w:val="24"/>
        </w:rPr>
        <w:t>第一阶段谈判：</w:t>
      </w:r>
    </w:p>
    <w:p>
      <w:pPr>
        <w:spacing w:line="460" w:lineRule="exact"/>
        <w:ind w:firstLine="480" w:firstLineChars="200"/>
        <w:rPr>
          <w:rFonts w:ascii="宋体" w:hAnsi="宋体"/>
          <w:sz w:val="24"/>
        </w:rPr>
      </w:pPr>
      <w:r>
        <w:rPr>
          <w:rFonts w:hint="eastAsia" w:ascii="宋体" w:hAnsi="宋体"/>
          <w:sz w:val="24"/>
        </w:rPr>
        <w:t>（1）符合《政府采购法》第三十条第一项、第三项情形的，谈判小组应当对供应商响应文件的符合性审查，直接与实质性响应谈判文件要求的供应商就价格进行谈判。在最后一轮谈判结束后，谈判小组将要求所有仍在参加谈判的供应商在同一截止时间前进行最后报价。最后报价由其法定代表人或其委托代理人签字后密封递交给谈判小组。</w:t>
      </w:r>
    </w:p>
    <w:p>
      <w:pPr>
        <w:spacing w:line="460" w:lineRule="exact"/>
        <w:ind w:firstLine="480" w:firstLineChars="200"/>
        <w:rPr>
          <w:rFonts w:ascii="宋体" w:hAnsi="宋体"/>
          <w:sz w:val="24"/>
        </w:rPr>
      </w:pPr>
      <w:r>
        <w:rPr>
          <w:rFonts w:hint="eastAsia" w:ascii="宋体" w:hAnsi="宋体"/>
          <w:sz w:val="24"/>
        </w:rPr>
        <w:t>（2）符合《政府采购法》第三十条第二项、第四项情形的，在谈判过程中，谈判小组应逐步明确采购需求，确定技术标准和要求，完善合同内容。</w:t>
      </w:r>
      <w:r>
        <w:rPr>
          <w:rFonts w:ascii="宋体" w:hAnsi="宋体"/>
          <w:sz w:val="24"/>
        </w:rPr>
        <w:t>谈判小组可以根据谈判文件和谈判情况实质性变动采购需求中的技术、服务要求以及合同草案条款，</w:t>
      </w:r>
      <w:r>
        <w:rPr>
          <w:rFonts w:hint="eastAsia" w:ascii="宋体" w:hAnsi="宋体"/>
          <w:sz w:val="24"/>
        </w:rPr>
        <w:t>进行第二阶段谈判，</w:t>
      </w:r>
      <w:r>
        <w:rPr>
          <w:rFonts w:ascii="宋体" w:hAnsi="宋体"/>
          <w:sz w:val="24"/>
        </w:rPr>
        <w:t>但不得变动谈判文件中的其他内容。实质性变动的内容，须经采购人代表确认。</w:t>
      </w:r>
      <w:r>
        <w:rPr>
          <w:rFonts w:hint="eastAsia" w:ascii="宋体" w:hAnsi="宋体"/>
          <w:sz w:val="24"/>
        </w:rPr>
        <w:t>谈判文件的实质性变动内容为谈判文件的组成部分，实质性变动内容与谈判文件不一致时，以实质性变动内容为准。</w:t>
      </w:r>
    </w:p>
    <w:p>
      <w:pPr>
        <w:spacing w:line="460" w:lineRule="exact"/>
        <w:ind w:firstLine="480" w:firstLineChars="200"/>
        <w:rPr>
          <w:rFonts w:ascii="宋体" w:hAnsi="宋体"/>
          <w:sz w:val="24"/>
        </w:rPr>
      </w:pPr>
      <w:r>
        <w:rPr>
          <w:rFonts w:hint="eastAsia" w:ascii="宋体" w:hAnsi="宋体"/>
          <w:sz w:val="24"/>
        </w:rPr>
        <w:t>第二阶段谈判：</w:t>
      </w:r>
    </w:p>
    <w:p>
      <w:pPr>
        <w:spacing w:line="460" w:lineRule="exact"/>
        <w:ind w:firstLine="480" w:firstLineChars="200"/>
        <w:rPr>
          <w:rFonts w:ascii="宋体" w:hAnsi="宋体"/>
          <w:sz w:val="24"/>
        </w:rPr>
      </w:pPr>
      <w:r>
        <w:rPr>
          <w:rFonts w:hint="eastAsia" w:ascii="宋体" w:hAnsi="宋体"/>
          <w:sz w:val="24"/>
        </w:rPr>
        <w:t>（1）谈判小组应要求所有参加第一阶段谈判的供应商以对其响应文件进行修正的方式，对谈判文件的实质性变动作出响应。在最后一轮谈判结束后，应当要求在谈判结束后同一截止时间前递交修正的响应文件和最后报价。供应商未按谈判小组规定递交的，视同在谈判开始之日后撤回响应文件。修正的响应文件和最后报价由其法定代表人或其委托代理人签字后递交给谈判小组。修正的响应文件为响应文件的组成部分。修正的响应文件与响应文件不一致时，以修正的响应文件为准。</w:t>
      </w:r>
    </w:p>
    <w:p>
      <w:pPr>
        <w:spacing w:line="460" w:lineRule="exact"/>
        <w:ind w:firstLine="480" w:firstLineChars="200"/>
        <w:rPr>
          <w:rFonts w:ascii="宋体" w:hAnsi="宋体"/>
          <w:sz w:val="24"/>
        </w:rPr>
      </w:pPr>
      <w:r>
        <w:rPr>
          <w:rFonts w:hint="eastAsia" w:ascii="宋体" w:hAnsi="宋体"/>
          <w:sz w:val="24"/>
        </w:rPr>
        <w:t>（2）在第二阶段谈判过程中，不能确定成交结果的，谈判终止，采购人重新开展采购活动。</w:t>
      </w:r>
    </w:p>
    <w:p>
      <w:pPr>
        <w:spacing w:line="460" w:lineRule="exact"/>
        <w:ind w:firstLine="480" w:firstLineChars="200"/>
        <w:rPr>
          <w:rFonts w:ascii="宋体" w:hAnsi="宋体"/>
          <w:sz w:val="24"/>
        </w:rPr>
      </w:pPr>
      <w:r>
        <w:rPr>
          <w:rFonts w:hint="eastAsia" w:ascii="宋体" w:hAnsi="宋体"/>
          <w:sz w:val="24"/>
        </w:rPr>
        <w:t>26.最后报价</w:t>
      </w:r>
    </w:p>
    <w:p>
      <w:pPr>
        <w:spacing w:line="460" w:lineRule="exact"/>
        <w:ind w:firstLine="480" w:firstLineChars="200"/>
        <w:rPr>
          <w:rFonts w:ascii="宋体" w:hAnsi="宋体"/>
          <w:sz w:val="24"/>
        </w:rPr>
      </w:pPr>
      <w:r>
        <w:rPr>
          <w:rFonts w:ascii="宋体" w:hAnsi="宋体"/>
          <w:sz w:val="24"/>
        </w:rPr>
        <w:t>谈判小组可根据供应商的报价，响应内容及谈判的情况，要求各供应商分别进行不超过</w:t>
      </w:r>
      <w:r>
        <w:rPr>
          <w:rFonts w:hint="eastAsia" w:ascii="宋体" w:hAnsi="宋体"/>
          <w:sz w:val="24"/>
        </w:rPr>
        <w:t>二</w:t>
      </w:r>
      <w:r>
        <w:rPr>
          <w:rFonts w:ascii="宋体" w:hAnsi="宋体"/>
          <w:sz w:val="24"/>
        </w:rPr>
        <w:t>轮报价，最后一轮谈判结束后，参加谈判的供应商应当对谈判的承诺和最后报价以书面形式确认，并由法定代表人或其授权委托人签署生效。最后报价是供应商响应文件的有效组成部分。</w:t>
      </w:r>
    </w:p>
    <w:p>
      <w:pPr>
        <w:spacing w:line="460" w:lineRule="exact"/>
        <w:ind w:firstLine="480" w:firstLineChars="200"/>
        <w:rPr>
          <w:rFonts w:ascii="宋体" w:hAnsi="宋体"/>
          <w:sz w:val="24"/>
        </w:rPr>
      </w:pPr>
      <w:r>
        <w:rPr>
          <w:rFonts w:hint="eastAsia" w:ascii="宋体" w:hAnsi="宋体"/>
          <w:sz w:val="24"/>
        </w:rPr>
        <w:t>27.响应文件的澄清</w:t>
      </w:r>
    </w:p>
    <w:p>
      <w:pPr>
        <w:spacing w:line="460" w:lineRule="exact"/>
        <w:ind w:firstLine="480" w:firstLineChars="200"/>
        <w:rPr>
          <w:rFonts w:ascii="宋体" w:hAnsi="宋体"/>
          <w:sz w:val="24"/>
        </w:rPr>
      </w:pPr>
      <w:r>
        <w:rPr>
          <w:rFonts w:hint="eastAsia" w:ascii="宋体" w:hAnsi="宋体"/>
          <w:sz w:val="24"/>
        </w:rPr>
        <w:t>27.1谈判小组在对响应文件的有效性、完整性和响应程度进行审查时，可以要求供应商对响应文件中含义不明确、同类问题表述不一致或者有明显文字和计算错误的内容等作出必要的澄清、说明或者纠正。该要求应当以书面形式作出。供应商的澄清、说明或者补正应当采用书面形式，由其法定代表人或其委托代理人签字。供应商的澄清、说明或者更正不得超出谈判文件的范围或者改变响应文件的实质性内容。</w:t>
      </w:r>
    </w:p>
    <w:p>
      <w:pPr>
        <w:spacing w:line="460" w:lineRule="exact"/>
        <w:ind w:firstLine="480" w:firstLineChars="200"/>
        <w:rPr>
          <w:rFonts w:ascii="宋体" w:hAnsi="宋体"/>
          <w:sz w:val="24"/>
        </w:rPr>
      </w:pPr>
      <w:r>
        <w:rPr>
          <w:rFonts w:hint="eastAsia" w:ascii="宋体" w:hAnsi="宋体"/>
          <w:sz w:val="24"/>
        </w:rPr>
        <w:t>27.2.响应文件如果出现计算或表达上的错误，按照下列规定修正：</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）响应文件中开标一览表（报价表）内容与响应文件中相应内容不一致的，以开标一览表（报价表）为准。</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）大写金额和小写金额不一致的，以大写金额为准；</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）单价金额小数点或者百分比有明显错位的，以开标一览表的总价为准，并修改单价；</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）总价金额与按单价汇总金额不一致的，以单价金额计算结果为准；</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）对不同文字文本响应文件的解释发生异议的，以中文文本为准；</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）同时出现两种以上不一致的，按照前款规定的顺序修正。按上述规定修正后的报价经供应商确认后对供应商起约束作用。如果供应商不确认修正后的报价，则其投标无效。</w:t>
      </w:r>
    </w:p>
    <w:p>
      <w:pPr>
        <w:spacing w:line="460" w:lineRule="exact"/>
        <w:ind w:firstLine="480" w:firstLineChars="200"/>
        <w:rPr>
          <w:rFonts w:ascii="宋体" w:hAnsi="宋体"/>
          <w:sz w:val="24"/>
        </w:rPr>
      </w:pPr>
      <w:r>
        <w:rPr>
          <w:rFonts w:hint="eastAsia" w:ascii="宋体" w:hAnsi="宋体"/>
          <w:sz w:val="24"/>
        </w:rPr>
        <w:t>27.3供应商应按谈判小组通知的时间、地点，指派专人进行澄清、说明或者补正。</w:t>
      </w:r>
    </w:p>
    <w:p>
      <w:pPr>
        <w:spacing w:line="460" w:lineRule="exact"/>
        <w:ind w:firstLine="480" w:firstLineChars="200"/>
        <w:rPr>
          <w:rFonts w:ascii="宋体" w:hAnsi="宋体"/>
          <w:sz w:val="24"/>
        </w:rPr>
      </w:pPr>
      <w:r>
        <w:rPr>
          <w:rFonts w:hint="eastAsia" w:ascii="宋体" w:hAnsi="宋体"/>
          <w:sz w:val="24"/>
        </w:rPr>
        <w:t>28.推荐或确定成交供应商</w:t>
      </w:r>
    </w:p>
    <w:p>
      <w:pPr>
        <w:spacing w:line="460" w:lineRule="exact"/>
        <w:ind w:firstLine="480" w:firstLineChars="200"/>
        <w:rPr>
          <w:rFonts w:ascii="宋体" w:hAnsi="宋体"/>
          <w:sz w:val="24"/>
        </w:rPr>
      </w:pPr>
      <w:r>
        <w:rPr>
          <w:rFonts w:hint="eastAsia" w:ascii="宋体" w:hAnsi="宋体"/>
          <w:sz w:val="24"/>
        </w:rPr>
        <w:t>谈判小组依据谈判文件及供应商响应文件和最后报价，从产品质量和服务均能满足谈判文件规定的最低要求供应商中，按政府采购政策优惠的规定，确定供应商的评审报价，按照经评审后的报价由低到高的顺序推荐成交候选供应商。</w:t>
      </w:r>
    </w:p>
    <w:p>
      <w:pPr>
        <w:spacing w:line="460" w:lineRule="exact"/>
        <w:ind w:firstLine="480" w:firstLineChars="200"/>
        <w:rPr>
          <w:rFonts w:ascii="宋体" w:hAnsi="宋体"/>
          <w:sz w:val="24"/>
        </w:rPr>
      </w:pPr>
      <w:r>
        <w:rPr>
          <w:rFonts w:hint="eastAsia" w:ascii="宋体" w:hAnsi="宋体"/>
          <w:sz w:val="24"/>
        </w:rPr>
        <w:t>29. 谈判的特殊情形</w:t>
      </w:r>
    </w:p>
    <w:p>
      <w:pPr>
        <w:spacing w:line="460" w:lineRule="exact"/>
        <w:ind w:firstLine="480" w:firstLineChars="200"/>
        <w:rPr>
          <w:rFonts w:ascii="宋体" w:hAnsi="宋体"/>
          <w:sz w:val="24"/>
        </w:rPr>
      </w:pPr>
      <w:r>
        <w:rPr>
          <w:rFonts w:hint="eastAsia" w:ascii="宋体" w:hAnsi="宋体"/>
          <w:sz w:val="24"/>
        </w:rPr>
        <w:t>29.1递交响应文件的供应商不足三家的，不予谈判，除采购任务取消外，如谈判文件没有不合理条款，发布项目延期公告，延长三个工作日，延长期满后，仍不足三家的，继续进入谈判程序。</w:t>
      </w:r>
    </w:p>
    <w:p>
      <w:pPr>
        <w:spacing w:line="460" w:lineRule="exact"/>
        <w:ind w:firstLine="480" w:firstLineChars="200"/>
        <w:rPr>
          <w:rFonts w:ascii="宋体" w:hAnsi="宋体"/>
          <w:sz w:val="24"/>
        </w:rPr>
      </w:pPr>
      <w:r>
        <w:rPr>
          <w:rFonts w:hint="eastAsia" w:ascii="宋体" w:hAnsi="宋体"/>
          <w:sz w:val="24"/>
        </w:rPr>
        <w:t>29.2对谈判文件作出实质性响应的供应商不足三家但达到二家的，谈判小组认为继续谈判能够引起充分竞争且技术上满足谈判文件要求、报价低于预算，可比照财政部《货物和服务招标投标管理办法》第43条规定，经谈判小组出具书面意见并签字认可，报经政府采购管理部门同意，通知供应商当场继续采用竞争性谈判；对谈判文件作出实质性响应的供应商只有一家的，予以废标，重新组织采购活动。</w:t>
      </w:r>
    </w:p>
    <w:p>
      <w:pPr>
        <w:spacing w:line="460" w:lineRule="exact"/>
        <w:ind w:firstLine="480" w:firstLineChars="200"/>
        <w:rPr>
          <w:rFonts w:ascii="宋体" w:hAnsi="宋体"/>
          <w:sz w:val="24"/>
        </w:rPr>
      </w:pPr>
      <w:r>
        <w:rPr>
          <w:rFonts w:hint="eastAsia" w:ascii="宋体" w:hAnsi="宋体"/>
          <w:sz w:val="24"/>
        </w:rPr>
        <w:t>29.3项目经延期或重新组织采购后，对谈判文件作出实质性响应的供应商仍只有一家的，经谈判小组出具书面意见并签字认可，报经政府采购管理部门同意，改为其他方式采购。</w:t>
      </w:r>
    </w:p>
    <w:p>
      <w:pPr>
        <w:spacing w:line="460" w:lineRule="exact"/>
        <w:ind w:firstLine="480" w:firstLineChars="200"/>
        <w:rPr>
          <w:rFonts w:ascii="宋体" w:hAnsi="宋体"/>
          <w:sz w:val="24"/>
        </w:rPr>
      </w:pPr>
      <w:r>
        <w:rPr>
          <w:rFonts w:hint="eastAsia" w:ascii="宋体" w:hAnsi="宋体"/>
          <w:sz w:val="24"/>
        </w:rPr>
        <w:t>30.谈判终止</w:t>
      </w:r>
    </w:p>
    <w:p>
      <w:pPr>
        <w:spacing w:line="460" w:lineRule="exact"/>
        <w:ind w:firstLine="480" w:firstLineChars="200"/>
        <w:rPr>
          <w:rFonts w:ascii="宋体" w:hAnsi="宋体"/>
          <w:sz w:val="24"/>
        </w:rPr>
      </w:pPr>
      <w:r>
        <w:rPr>
          <w:rFonts w:hint="eastAsia" w:ascii="宋体" w:hAnsi="宋体"/>
          <w:sz w:val="24"/>
        </w:rPr>
        <w:t>30.1 谈判时，出现下列情况之一，本次谈判终止：</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）符合专业条件的供应商或者对谈判文件作实质响应的供应商不足</w:t>
      </w:r>
      <w:r>
        <w:rPr>
          <w:rFonts w:ascii="宋体" w:hAnsi="宋体"/>
          <w:sz w:val="24"/>
        </w:rPr>
        <w:t>3</w:t>
      </w:r>
      <w:r>
        <w:rPr>
          <w:rFonts w:hint="eastAsia" w:ascii="宋体" w:hAnsi="宋体"/>
          <w:sz w:val="24"/>
        </w:rPr>
        <w:t>家的；</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）出现影响采购公正的违法、违规行为的；</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）供应商的最终报价均超过采购项目预算；</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）因重大变故，采购任务取消的。</w:t>
      </w:r>
    </w:p>
    <w:p>
      <w:pPr>
        <w:spacing w:line="460" w:lineRule="exact"/>
        <w:ind w:firstLine="480" w:firstLineChars="200"/>
        <w:rPr>
          <w:rFonts w:ascii="宋体" w:hAnsi="宋体"/>
          <w:sz w:val="24"/>
        </w:rPr>
      </w:pPr>
      <w:r>
        <w:rPr>
          <w:rFonts w:hint="eastAsia" w:ascii="宋体" w:hAnsi="宋体"/>
          <w:sz w:val="24"/>
        </w:rPr>
        <w:t>30.2 谈判小组应将谈判终止理由通知所有参与谈判的供应商。</w:t>
      </w:r>
    </w:p>
    <w:p>
      <w:pPr>
        <w:spacing w:line="460" w:lineRule="exact"/>
        <w:ind w:firstLine="480" w:firstLineChars="200"/>
        <w:rPr>
          <w:rFonts w:ascii="宋体" w:hAnsi="宋体"/>
          <w:sz w:val="24"/>
        </w:rPr>
      </w:pPr>
      <w:r>
        <w:rPr>
          <w:rFonts w:hint="eastAsia" w:ascii="宋体" w:hAnsi="宋体"/>
          <w:sz w:val="24"/>
        </w:rPr>
        <w:t>31.保密要求</w:t>
      </w:r>
    </w:p>
    <w:p>
      <w:pPr>
        <w:spacing w:line="460" w:lineRule="exact"/>
        <w:ind w:firstLine="480" w:firstLineChars="200"/>
        <w:rPr>
          <w:rFonts w:ascii="宋体" w:hAnsi="宋体"/>
          <w:sz w:val="24"/>
        </w:rPr>
      </w:pPr>
      <w:r>
        <w:rPr>
          <w:rFonts w:hint="eastAsia" w:ascii="宋体" w:hAnsi="宋体"/>
          <w:sz w:val="24"/>
        </w:rPr>
        <w:t>谈判小组成员以及与评审工作有关的人员对评审情况以及评审过程中获悉的国家秘密、商业秘密负有保密责任。开标后，直到授予中标人合同止，凡是属于审查、澄清、评审和比较的有关资料以及授标建议等均不得向供应商或其他无关的人员透露。应当保密。</w:t>
      </w:r>
    </w:p>
    <w:p>
      <w:pPr>
        <w:pStyle w:val="4"/>
        <w:spacing w:before="0" w:line="240" w:lineRule="atLeast"/>
        <w:ind w:left="0" w:firstLine="482" w:firstLineChars="200"/>
        <w:rPr>
          <w:rFonts w:ascii="宋体" w:hAnsi="宋体" w:eastAsia="宋体"/>
          <w:sz w:val="24"/>
          <w:szCs w:val="24"/>
        </w:rPr>
      </w:pPr>
      <w:bookmarkStart w:id="124" w:name="_Toc20995_WPSOffice_Level2"/>
      <w:bookmarkStart w:id="125" w:name="_Toc60996682"/>
      <w:bookmarkStart w:id="126" w:name="_Toc12853_WPSOffice_Level1"/>
      <w:bookmarkStart w:id="127" w:name="_Toc18616"/>
      <w:bookmarkStart w:id="128" w:name="_Toc84455575"/>
      <w:bookmarkStart w:id="129" w:name="_六、中标结果"/>
      <w:r>
        <w:rPr>
          <w:rFonts w:hint="eastAsia" w:ascii="宋体" w:hAnsi="宋体" w:eastAsia="宋体"/>
          <w:sz w:val="24"/>
          <w:szCs w:val="24"/>
        </w:rPr>
        <w:t>七</w:t>
      </w:r>
      <w:r>
        <w:rPr>
          <w:rFonts w:ascii="宋体" w:hAnsi="宋体" w:eastAsia="宋体"/>
          <w:sz w:val="24"/>
          <w:szCs w:val="24"/>
        </w:rPr>
        <w:t>、</w:t>
      </w:r>
      <w:r>
        <w:rPr>
          <w:rFonts w:hint="eastAsia" w:ascii="宋体" w:hAnsi="宋体" w:eastAsia="宋体"/>
          <w:sz w:val="24"/>
          <w:szCs w:val="24"/>
        </w:rPr>
        <w:t>成交结果</w:t>
      </w:r>
      <w:bookmarkEnd w:id="124"/>
      <w:bookmarkEnd w:id="125"/>
      <w:bookmarkEnd w:id="126"/>
      <w:bookmarkEnd w:id="127"/>
      <w:bookmarkEnd w:id="128"/>
    </w:p>
    <w:bookmarkEnd w:id="129"/>
    <w:p>
      <w:pPr>
        <w:spacing w:line="460" w:lineRule="exact"/>
        <w:ind w:firstLine="480" w:firstLineChars="200"/>
        <w:rPr>
          <w:rFonts w:ascii="宋体" w:hAnsi="宋体"/>
          <w:sz w:val="24"/>
        </w:rPr>
      </w:pPr>
      <w:bookmarkStart w:id="130" w:name="_Toc7601"/>
      <w:r>
        <w:rPr>
          <w:rFonts w:hint="eastAsia" w:ascii="宋体" w:hAnsi="宋体"/>
          <w:sz w:val="24"/>
        </w:rPr>
        <w:t>32</w:t>
      </w:r>
      <w:r>
        <w:rPr>
          <w:rFonts w:ascii="宋体" w:hAnsi="宋体"/>
          <w:sz w:val="24"/>
        </w:rPr>
        <w:t>.</w:t>
      </w:r>
      <w:r>
        <w:rPr>
          <w:rFonts w:hint="eastAsia" w:ascii="宋体" w:hAnsi="宋体"/>
          <w:sz w:val="24"/>
        </w:rPr>
        <w:t>成交供应商的确定</w:t>
      </w:r>
      <w:bookmarkEnd w:id="130"/>
    </w:p>
    <w:p>
      <w:pPr>
        <w:spacing w:line="460" w:lineRule="exact"/>
        <w:ind w:firstLine="480" w:firstLineChars="200"/>
        <w:rPr>
          <w:rFonts w:ascii="宋体" w:hAnsi="宋体"/>
          <w:sz w:val="24"/>
        </w:rPr>
      </w:pPr>
      <w:r>
        <w:rPr>
          <w:rFonts w:hint="eastAsia" w:ascii="宋体" w:hAnsi="宋体"/>
          <w:sz w:val="24"/>
        </w:rPr>
        <w:t>32.1采购人应当自收到评审报告之日起5个工作日内，在评审报告提出的成交候选人中，根据质量和服务均能满足谈判文件实质性响应要求且最后报价最低的原则确定成交供应商，也可以书面授权谈判小组直接确定成交供应商。</w:t>
      </w:r>
    </w:p>
    <w:p>
      <w:pPr>
        <w:spacing w:line="460" w:lineRule="exact"/>
        <w:ind w:firstLine="480" w:firstLineChars="200"/>
        <w:rPr>
          <w:rFonts w:ascii="宋体" w:hAnsi="宋体"/>
          <w:sz w:val="24"/>
        </w:rPr>
      </w:pPr>
      <w:bookmarkStart w:id="131" w:name="_Toc25957"/>
      <w:r>
        <w:rPr>
          <w:rFonts w:hint="eastAsia" w:ascii="宋体" w:hAnsi="宋体"/>
          <w:sz w:val="24"/>
        </w:rPr>
        <w:t>33</w:t>
      </w:r>
      <w:r>
        <w:rPr>
          <w:rFonts w:ascii="宋体" w:hAnsi="宋体"/>
          <w:sz w:val="24"/>
        </w:rPr>
        <w:t>.</w:t>
      </w:r>
      <w:r>
        <w:rPr>
          <w:rFonts w:hint="eastAsia" w:ascii="宋体" w:hAnsi="宋体"/>
          <w:sz w:val="24"/>
        </w:rPr>
        <w:t>成交通知书</w:t>
      </w:r>
      <w:bookmarkEnd w:id="131"/>
    </w:p>
    <w:p>
      <w:pPr>
        <w:pStyle w:val="17"/>
        <w:adjustRightInd w:val="0"/>
        <w:snapToGrid w:val="0"/>
        <w:spacing w:before="120" w:beforeLines="50" w:line="360" w:lineRule="auto"/>
        <w:ind w:firstLine="480" w:firstLineChars="200"/>
        <w:rPr>
          <w:rFonts w:hAnsi="宋体"/>
          <w:sz w:val="24"/>
        </w:rPr>
      </w:pPr>
      <w:r>
        <w:rPr>
          <w:rFonts w:hint="eastAsia" w:hAnsi="宋体"/>
          <w:sz w:val="24"/>
        </w:rPr>
        <w:t>33</w:t>
      </w:r>
      <w:r>
        <w:rPr>
          <w:rFonts w:hAnsi="宋体"/>
          <w:sz w:val="24"/>
        </w:rPr>
        <w:t xml:space="preserve">.1 </w:t>
      </w:r>
      <w:r>
        <w:rPr>
          <w:rFonts w:hint="eastAsia" w:hAnsi="宋体"/>
          <w:sz w:val="24"/>
        </w:rPr>
        <w:t>采购人或者采购代理机构应当自成交供应商确定之日起 2 个工作日内，在学校指定的媒体上公告成交结果（发布媒体详见竞争性谈判公告），在公告成交结果的同时，采购人或者采购代理机构应当向成交供应商发出成交通知书。成交通知书对采购人和成交供应商具有同等法律效力。</w:t>
      </w:r>
    </w:p>
    <w:p>
      <w:pPr>
        <w:spacing w:line="460" w:lineRule="exact"/>
        <w:ind w:firstLine="480" w:firstLineChars="200"/>
        <w:rPr>
          <w:rFonts w:ascii="宋体" w:hAnsi="宋体"/>
          <w:sz w:val="24"/>
        </w:rPr>
      </w:pPr>
      <w:r>
        <w:rPr>
          <w:rFonts w:hint="eastAsia" w:ascii="宋体" w:hAnsi="宋体"/>
          <w:sz w:val="24"/>
        </w:rPr>
        <w:t>33.2成交通知书是合同的一个组成部分。</w:t>
      </w:r>
    </w:p>
    <w:p>
      <w:pPr>
        <w:spacing w:line="460" w:lineRule="exact"/>
        <w:ind w:firstLine="480" w:firstLineChars="200"/>
        <w:rPr>
          <w:rFonts w:ascii="宋体" w:hAnsi="宋体"/>
          <w:sz w:val="24"/>
        </w:rPr>
      </w:pPr>
      <w:bookmarkStart w:id="132" w:name="_Toc2208"/>
      <w:r>
        <w:rPr>
          <w:rFonts w:hint="eastAsia" w:ascii="宋体" w:hAnsi="宋体"/>
          <w:sz w:val="24"/>
        </w:rPr>
        <w:t>34.合同的签订</w:t>
      </w:r>
      <w:bookmarkEnd w:id="132"/>
    </w:p>
    <w:p>
      <w:pPr>
        <w:spacing w:line="460" w:lineRule="exact"/>
        <w:ind w:firstLine="480" w:firstLineChars="200"/>
        <w:rPr>
          <w:rFonts w:ascii="宋体" w:hAnsi="宋体"/>
          <w:sz w:val="24"/>
        </w:rPr>
      </w:pPr>
      <w:r>
        <w:rPr>
          <w:rFonts w:hint="eastAsia" w:ascii="宋体" w:hAnsi="宋体"/>
          <w:sz w:val="24"/>
        </w:rPr>
        <w:t>34.</w:t>
      </w:r>
      <w:r>
        <w:rPr>
          <w:rFonts w:ascii="宋体" w:hAnsi="宋体"/>
          <w:sz w:val="24"/>
        </w:rPr>
        <w:t>1</w:t>
      </w:r>
      <w:r>
        <w:rPr>
          <w:rFonts w:hint="eastAsia" w:ascii="宋体" w:hAnsi="宋体"/>
          <w:sz w:val="24"/>
        </w:rPr>
        <w:t>采购人应当自成交通知书发出之日起 30 日内，按照谈判文件和成交供应商响应文件的规定，与成交供应商签订书面合同。所签订的合同不得对谈判文件确定的事项和成交供应商响应文件作实质性修改。</w:t>
      </w:r>
    </w:p>
    <w:p>
      <w:pPr>
        <w:spacing w:line="460" w:lineRule="exact"/>
        <w:ind w:firstLine="480" w:firstLineChars="200"/>
        <w:rPr>
          <w:rFonts w:ascii="宋体" w:hAnsi="宋体"/>
          <w:sz w:val="24"/>
        </w:rPr>
      </w:pPr>
      <w:r>
        <w:rPr>
          <w:rFonts w:hint="eastAsia" w:ascii="宋体" w:hAnsi="宋体"/>
          <w:sz w:val="24"/>
        </w:rPr>
        <w:t>采购人不得向成交供应商提出任何不合理的要求作为签订合同的条件。</w:t>
      </w:r>
    </w:p>
    <w:p>
      <w:pPr>
        <w:spacing w:line="460" w:lineRule="exact"/>
        <w:ind w:firstLine="480" w:firstLineChars="200"/>
        <w:rPr>
          <w:rFonts w:ascii="宋体" w:hAnsi="宋体"/>
          <w:sz w:val="24"/>
        </w:rPr>
      </w:pPr>
      <w:r>
        <w:rPr>
          <w:rFonts w:hint="eastAsia" w:ascii="宋体" w:hAnsi="宋体"/>
          <w:sz w:val="24"/>
        </w:rPr>
        <w:t>34.</w:t>
      </w:r>
      <w:r>
        <w:rPr>
          <w:rFonts w:ascii="宋体" w:hAnsi="宋体"/>
          <w:sz w:val="24"/>
        </w:rPr>
        <w:t xml:space="preserve">2 </w:t>
      </w:r>
      <w:r>
        <w:rPr>
          <w:rFonts w:hint="eastAsia" w:ascii="宋体" w:hAnsi="宋体"/>
          <w:sz w:val="24"/>
        </w:rPr>
        <w:t>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80" w:firstLineChars="200"/>
        <w:rPr>
          <w:rFonts w:ascii="宋体" w:hAnsi="宋体"/>
          <w:sz w:val="24"/>
        </w:rPr>
      </w:pPr>
      <w:bookmarkStart w:id="133" w:name="_Toc1372"/>
      <w:r>
        <w:rPr>
          <w:rFonts w:hint="eastAsia" w:ascii="宋体" w:hAnsi="宋体"/>
          <w:sz w:val="24"/>
        </w:rPr>
        <w:t>35.履约保证金</w:t>
      </w:r>
      <w:bookmarkEnd w:id="133"/>
    </w:p>
    <w:p>
      <w:pPr>
        <w:spacing w:line="460" w:lineRule="exact"/>
        <w:ind w:firstLine="480" w:firstLineChars="200"/>
        <w:rPr>
          <w:rFonts w:ascii="宋体" w:hAnsi="宋体"/>
          <w:sz w:val="24"/>
        </w:rPr>
      </w:pPr>
      <w:r>
        <w:rPr>
          <w:rFonts w:hint="eastAsia" w:ascii="宋体" w:hAnsi="宋体"/>
          <w:sz w:val="24"/>
        </w:rPr>
        <w:t>签订合同前，中标人应按“供应商须知前附表”中确定的履约保证金的金额，向采购人交纳履约保证金，履约保证金的数额不得超过政府采购合同金额的10%。</w:t>
      </w:r>
    </w:p>
    <w:bookmarkEnd w:id="58"/>
    <w:p>
      <w:pPr>
        <w:tabs>
          <w:tab w:val="left" w:pos="720"/>
        </w:tabs>
        <w:spacing w:line="360" w:lineRule="auto"/>
        <w:ind w:firstLine="2650" w:firstLineChars="600"/>
        <w:outlineLvl w:val="0"/>
        <w:rPr>
          <w:rFonts w:ascii="黑体"/>
          <w:b/>
          <w:bCs/>
          <w:sz w:val="44"/>
          <w:szCs w:val="44"/>
        </w:rPr>
      </w:pPr>
      <w:bookmarkStart w:id="134" w:name="_Toc60996684"/>
      <w:bookmarkStart w:id="135" w:name="_Toc32340_WPSOffice_Level2"/>
      <w:bookmarkStart w:id="136" w:name="_Toc20297_WPSOffice_Level1"/>
    </w:p>
    <w:p>
      <w:pPr>
        <w:pStyle w:val="2"/>
        <w:rPr>
          <w:rFonts w:ascii="黑体"/>
          <w:b/>
          <w:bCs/>
          <w:sz w:val="44"/>
          <w:szCs w:val="44"/>
        </w:rPr>
      </w:pPr>
    </w:p>
    <w:p>
      <w:pPr>
        <w:pStyle w:val="2"/>
        <w:rPr>
          <w:rFonts w:ascii="黑体"/>
          <w:b/>
          <w:bCs/>
          <w:sz w:val="44"/>
          <w:szCs w:val="44"/>
        </w:rPr>
      </w:pPr>
    </w:p>
    <w:p>
      <w:pPr>
        <w:pStyle w:val="2"/>
        <w:rPr>
          <w:rFonts w:ascii="黑体"/>
          <w:b/>
          <w:bCs/>
          <w:sz w:val="44"/>
          <w:szCs w:val="44"/>
        </w:rPr>
      </w:pPr>
    </w:p>
    <w:p>
      <w:pPr>
        <w:pStyle w:val="2"/>
        <w:rPr>
          <w:rFonts w:ascii="黑体"/>
          <w:b/>
          <w:bCs/>
          <w:sz w:val="44"/>
          <w:szCs w:val="44"/>
        </w:rPr>
      </w:pPr>
    </w:p>
    <w:p>
      <w:pPr>
        <w:pStyle w:val="2"/>
        <w:rPr>
          <w:rFonts w:ascii="黑体"/>
          <w:b/>
          <w:bCs/>
          <w:sz w:val="44"/>
          <w:szCs w:val="44"/>
        </w:rPr>
      </w:pPr>
    </w:p>
    <w:p>
      <w:pPr>
        <w:pStyle w:val="2"/>
        <w:rPr>
          <w:rFonts w:ascii="黑体"/>
          <w:b/>
          <w:bCs/>
          <w:sz w:val="44"/>
          <w:szCs w:val="44"/>
        </w:rPr>
      </w:pPr>
    </w:p>
    <w:p>
      <w:pPr>
        <w:pStyle w:val="2"/>
        <w:rPr>
          <w:rFonts w:ascii="黑体"/>
          <w:b/>
          <w:bCs/>
          <w:sz w:val="44"/>
          <w:szCs w:val="44"/>
        </w:rPr>
      </w:pPr>
    </w:p>
    <w:p>
      <w:pPr>
        <w:pStyle w:val="2"/>
        <w:rPr>
          <w:rFonts w:ascii="黑体"/>
          <w:b/>
          <w:bCs/>
          <w:sz w:val="44"/>
          <w:szCs w:val="44"/>
        </w:rPr>
      </w:pPr>
    </w:p>
    <w:p>
      <w:pPr>
        <w:tabs>
          <w:tab w:val="left" w:pos="720"/>
        </w:tabs>
        <w:spacing w:line="360" w:lineRule="auto"/>
        <w:ind w:firstLine="2650" w:firstLineChars="600"/>
        <w:outlineLvl w:val="0"/>
        <w:rPr>
          <w:rFonts w:ascii="黑体"/>
          <w:b/>
          <w:bCs/>
          <w:sz w:val="44"/>
          <w:szCs w:val="44"/>
        </w:rPr>
      </w:pPr>
    </w:p>
    <w:p>
      <w:pPr>
        <w:tabs>
          <w:tab w:val="left" w:pos="720"/>
        </w:tabs>
        <w:spacing w:line="360" w:lineRule="auto"/>
        <w:ind w:firstLine="2650" w:firstLineChars="600"/>
        <w:outlineLvl w:val="0"/>
        <w:rPr>
          <w:rFonts w:ascii="黑体"/>
          <w:b/>
          <w:bCs/>
          <w:sz w:val="44"/>
          <w:szCs w:val="44"/>
        </w:rPr>
      </w:pPr>
    </w:p>
    <w:p>
      <w:pPr>
        <w:tabs>
          <w:tab w:val="left" w:pos="720"/>
        </w:tabs>
        <w:spacing w:line="360" w:lineRule="auto"/>
        <w:ind w:firstLine="2650" w:firstLineChars="600"/>
        <w:outlineLvl w:val="0"/>
        <w:rPr>
          <w:rFonts w:ascii="黑体"/>
          <w:b/>
          <w:bCs/>
          <w:sz w:val="44"/>
          <w:szCs w:val="44"/>
        </w:rPr>
      </w:pPr>
    </w:p>
    <w:p>
      <w:pPr>
        <w:pStyle w:val="3"/>
        <w:ind w:left="0" w:firstLine="0"/>
        <w:jc w:val="center"/>
        <w:rPr>
          <w:rFonts w:ascii="黑体"/>
          <w:sz w:val="32"/>
          <w:szCs w:val="32"/>
        </w:rPr>
      </w:pPr>
      <w:bookmarkStart w:id="137" w:name="_Toc84455576"/>
      <w:r>
        <w:rPr>
          <w:rFonts w:hint="eastAsia" w:ascii="黑体"/>
          <w:sz w:val="32"/>
          <w:szCs w:val="32"/>
        </w:rPr>
        <w:t>第三章</w:t>
      </w:r>
      <w:bookmarkEnd w:id="134"/>
      <w:r>
        <w:rPr>
          <w:rFonts w:hint="eastAsia" w:ascii="黑体"/>
          <w:sz w:val="32"/>
          <w:szCs w:val="32"/>
        </w:rPr>
        <w:t xml:space="preserve">  合同书样式</w:t>
      </w:r>
      <w:bookmarkEnd w:id="135"/>
      <w:bookmarkEnd w:id="136"/>
      <w:bookmarkEnd w:id="137"/>
    </w:p>
    <w:p>
      <w:pPr>
        <w:tabs>
          <w:tab w:val="left" w:pos="720"/>
        </w:tabs>
        <w:spacing w:line="360" w:lineRule="auto"/>
        <w:ind w:firstLine="3373" w:firstLineChars="700"/>
        <w:rPr>
          <w:rFonts w:ascii="宋体" w:hAnsi="宋体"/>
          <w:b/>
          <w:sz w:val="48"/>
          <w:szCs w:val="48"/>
        </w:rPr>
      </w:pPr>
    </w:p>
    <w:p>
      <w:pPr>
        <w:tabs>
          <w:tab w:val="left" w:pos="720"/>
        </w:tabs>
        <w:spacing w:line="360" w:lineRule="auto"/>
        <w:ind w:firstLine="3373" w:firstLineChars="700"/>
        <w:rPr>
          <w:rFonts w:ascii="宋体"/>
          <w:b/>
          <w:sz w:val="48"/>
          <w:szCs w:val="48"/>
        </w:rPr>
      </w:pPr>
      <w:bookmarkStart w:id="138" w:name="_Toc22352_WPSOffice_Level3"/>
      <w:bookmarkStart w:id="139" w:name="_Toc5768_WPSOffice_Level2"/>
      <w:r>
        <w:rPr>
          <w:rFonts w:hint="eastAsia" w:ascii="宋体" w:hAnsi="宋体"/>
          <w:b/>
          <w:sz w:val="48"/>
          <w:szCs w:val="48"/>
        </w:rPr>
        <w:t>楚雄州政府采购</w:t>
      </w:r>
      <w:bookmarkEnd w:id="138"/>
      <w:bookmarkEnd w:id="139"/>
    </w:p>
    <w:p>
      <w:pPr>
        <w:tabs>
          <w:tab w:val="left" w:pos="720"/>
        </w:tabs>
        <w:spacing w:line="360" w:lineRule="auto"/>
        <w:rPr>
          <w:rFonts w:ascii="宋体"/>
          <w:b/>
          <w:szCs w:val="21"/>
        </w:rPr>
      </w:pPr>
    </w:p>
    <w:p>
      <w:pPr>
        <w:tabs>
          <w:tab w:val="left" w:pos="720"/>
        </w:tabs>
        <w:spacing w:line="360" w:lineRule="auto"/>
        <w:jc w:val="center"/>
        <w:rPr>
          <w:rFonts w:ascii="宋体"/>
          <w:b/>
          <w:sz w:val="48"/>
          <w:szCs w:val="48"/>
        </w:rPr>
      </w:pPr>
      <w:bookmarkStart w:id="140" w:name="_Toc19285_WPSOffice_Level3"/>
      <w:bookmarkStart w:id="141" w:name="_Toc20297_WPSOffice_Level2"/>
      <w:r>
        <w:rPr>
          <w:rFonts w:hint="eastAsia" w:ascii="宋体" w:hAnsi="宋体"/>
          <w:b/>
          <w:sz w:val="48"/>
          <w:szCs w:val="48"/>
        </w:rPr>
        <w:t>合　同　书</w:t>
      </w:r>
      <w:bookmarkEnd w:id="140"/>
      <w:bookmarkEnd w:id="141"/>
    </w:p>
    <w:p>
      <w:pPr>
        <w:tabs>
          <w:tab w:val="left" w:pos="720"/>
        </w:tabs>
        <w:spacing w:line="360" w:lineRule="auto"/>
        <w:jc w:val="center"/>
        <w:rPr>
          <w:rFonts w:ascii="宋体"/>
          <w:b/>
          <w:sz w:val="36"/>
          <w:szCs w:val="36"/>
        </w:rPr>
      </w:pPr>
      <w:bookmarkStart w:id="142" w:name="_Toc16744_WPSOffice_Level3"/>
      <w:bookmarkStart w:id="143" w:name="_Toc22115_WPSOffice_Level2"/>
      <w:r>
        <w:rPr>
          <w:rFonts w:hint="eastAsia" w:ascii="宋体" w:hAnsi="宋体"/>
          <w:b/>
          <w:sz w:val="36"/>
          <w:szCs w:val="36"/>
        </w:rPr>
        <w:t>（货物类）</w:t>
      </w:r>
      <w:bookmarkEnd w:id="142"/>
      <w:bookmarkEnd w:id="143"/>
    </w:p>
    <w:p>
      <w:pPr>
        <w:tabs>
          <w:tab w:val="left" w:pos="720"/>
        </w:tabs>
        <w:spacing w:line="360" w:lineRule="auto"/>
        <w:rPr>
          <w:rFonts w:ascii="宋体"/>
          <w:b/>
          <w:szCs w:val="21"/>
        </w:rPr>
      </w:pPr>
    </w:p>
    <w:p>
      <w:pPr>
        <w:tabs>
          <w:tab w:val="left" w:pos="720"/>
        </w:tabs>
        <w:spacing w:line="360" w:lineRule="auto"/>
        <w:rPr>
          <w:rFonts w:ascii="宋体"/>
          <w:b/>
          <w:szCs w:val="21"/>
        </w:rPr>
      </w:pPr>
    </w:p>
    <w:p>
      <w:pPr>
        <w:tabs>
          <w:tab w:val="left" w:pos="720"/>
        </w:tabs>
        <w:spacing w:line="360" w:lineRule="auto"/>
        <w:rPr>
          <w:rFonts w:ascii="宋体"/>
          <w:b/>
          <w:szCs w:val="21"/>
        </w:rPr>
      </w:pPr>
    </w:p>
    <w:p>
      <w:pPr>
        <w:tabs>
          <w:tab w:val="left" w:pos="720"/>
        </w:tabs>
        <w:spacing w:line="360" w:lineRule="auto"/>
        <w:rPr>
          <w:rFonts w:ascii="宋体"/>
          <w:b/>
          <w:szCs w:val="21"/>
        </w:rPr>
      </w:pPr>
    </w:p>
    <w:p>
      <w:pPr>
        <w:tabs>
          <w:tab w:val="left" w:pos="720"/>
        </w:tabs>
        <w:spacing w:line="360" w:lineRule="auto"/>
        <w:rPr>
          <w:rFonts w:ascii="宋体"/>
          <w:b/>
          <w:szCs w:val="21"/>
        </w:rPr>
      </w:pPr>
    </w:p>
    <w:tbl>
      <w:tblPr>
        <w:tblStyle w:val="37"/>
        <w:tblW w:w="5400" w:type="dxa"/>
        <w:jc w:val="center"/>
        <w:tblLayout w:type="fixed"/>
        <w:tblCellMar>
          <w:top w:w="0" w:type="dxa"/>
          <w:left w:w="108" w:type="dxa"/>
          <w:bottom w:w="0" w:type="dxa"/>
          <w:right w:w="108" w:type="dxa"/>
        </w:tblCellMar>
      </w:tblPr>
      <w:tblGrid>
        <w:gridCol w:w="5400"/>
      </w:tblGrid>
      <w:tr>
        <w:trPr>
          <w:trHeight w:val="446" w:hRule="atLeast"/>
          <w:jc w:val="center"/>
        </w:trPr>
        <w:tc>
          <w:tcPr>
            <w:tcW w:w="5400" w:type="dxa"/>
            <w:noWrap/>
          </w:tcPr>
          <w:p>
            <w:pPr>
              <w:tabs>
                <w:tab w:val="left" w:pos="720"/>
              </w:tabs>
              <w:spacing w:line="360" w:lineRule="auto"/>
              <w:rPr>
                <w:rFonts w:ascii="宋体"/>
                <w:b/>
                <w:szCs w:val="21"/>
              </w:rPr>
            </w:pPr>
            <w:r>
              <w:rPr>
                <w:rFonts w:hint="eastAsia" w:ascii="宋体" w:hAnsi="宋体"/>
                <w:b/>
                <w:szCs w:val="21"/>
              </w:rPr>
              <w:t>项目名称：</w:t>
            </w:r>
          </w:p>
        </w:tc>
      </w:tr>
    </w:tbl>
    <w:p>
      <w:pPr>
        <w:tabs>
          <w:tab w:val="left" w:pos="720"/>
        </w:tabs>
        <w:spacing w:line="360" w:lineRule="auto"/>
        <w:rPr>
          <w:rFonts w:ascii="宋体"/>
          <w:b/>
          <w:szCs w:val="21"/>
        </w:rPr>
      </w:pPr>
    </w:p>
    <w:p>
      <w:pPr>
        <w:tabs>
          <w:tab w:val="left" w:pos="720"/>
        </w:tabs>
        <w:spacing w:line="360" w:lineRule="auto"/>
        <w:rPr>
          <w:rFonts w:ascii="宋体"/>
          <w:b/>
          <w:szCs w:val="21"/>
        </w:rPr>
      </w:pPr>
    </w:p>
    <w:tbl>
      <w:tblPr>
        <w:tblStyle w:val="37"/>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ascii="宋体"/>
                <w:b/>
                <w:szCs w:val="21"/>
                <w:u w:val="single"/>
              </w:rPr>
            </w:pPr>
            <w:r>
              <w:rPr>
                <w:rFonts w:hint="eastAsia" w:ascii="宋体" w:hAnsi="宋体"/>
                <w:b/>
                <w:szCs w:val="21"/>
              </w:rPr>
              <w:t>采购项目编号：</w:t>
            </w:r>
          </w:p>
        </w:tc>
      </w:tr>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ascii="宋体"/>
                <w:b/>
                <w:szCs w:val="21"/>
                <w:u w:val="single"/>
              </w:rPr>
            </w:pPr>
          </w:p>
        </w:tc>
      </w:tr>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ascii="宋体"/>
                <w:b/>
                <w:szCs w:val="21"/>
              </w:rPr>
            </w:pPr>
          </w:p>
        </w:tc>
      </w:tr>
      <w:tr>
        <w:tblPrEx>
          <w:tblCellMar>
            <w:top w:w="0" w:type="dxa"/>
            <w:left w:w="108" w:type="dxa"/>
            <w:bottom w:w="0" w:type="dxa"/>
            <w:right w:w="108" w:type="dxa"/>
          </w:tblCellMar>
        </w:tblPrEx>
        <w:trPr>
          <w:trHeight w:val="460" w:hRule="atLeast"/>
          <w:jc w:val="center"/>
        </w:trPr>
        <w:tc>
          <w:tcPr>
            <w:tcW w:w="5400" w:type="dxa"/>
            <w:noWrap/>
          </w:tcPr>
          <w:p>
            <w:pPr>
              <w:tabs>
                <w:tab w:val="left" w:pos="720"/>
              </w:tabs>
              <w:spacing w:line="360" w:lineRule="auto"/>
              <w:rPr>
                <w:rFonts w:ascii="宋体"/>
                <w:b/>
                <w:szCs w:val="21"/>
              </w:rPr>
            </w:pPr>
          </w:p>
        </w:tc>
      </w:tr>
    </w:tbl>
    <w:p>
      <w:pPr>
        <w:spacing w:line="360" w:lineRule="auto"/>
        <w:rPr>
          <w:rFonts w:ascii="宋体"/>
          <w:szCs w:val="21"/>
        </w:rPr>
      </w:pPr>
    </w:p>
    <w:p>
      <w:pPr>
        <w:spacing w:line="360" w:lineRule="auto"/>
        <w:rPr>
          <w:rFonts w:ascii="宋体"/>
          <w:b/>
          <w:szCs w:val="21"/>
        </w:rPr>
      </w:pPr>
      <w:r>
        <w:rPr>
          <w:rFonts w:hint="eastAsia" w:ascii="宋体" w:hAnsi="宋体"/>
          <w:b/>
          <w:szCs w:val="21"/>
        </w:rPr>
        <w:t>注：本合同仅为合同的参考文本，合同签订双方可根据项目的具体要求进行修订。</w:t>
      </w:r>
    </w:p>
    <w:p>
      <w:pPr>
        <w:adjustRightInd w:val="0"/>
        <w:snapToGrid w:val="0"/>
        <w:spacing w:before="120" w:beforeLines="50" w:line="360" w:lineRule="auto"/>
        <w:rPr>
          <w:rFonts w:ascii="宋体"/>
          <w:b/>
          <w:szCs w:val="21"/>
        </w:rPr>
      </w:pPr>
    </w:p>
    <w:p>
      <w:pPr>
        <w:adjustRightInd w:val="0"/>
        <w:snapToGrid w:val="0"/>
        <w:spacing w:before="120" w:beforeLines="50" w:line="360" w:lineRule="auto"/>
        <w:rPr>
          <w:rFonts w:ascii="宋体"/>
          <w:b/>
          <w:szCs w:val="21"/>
        </w:rPr>
      </w:pPr>
    </w:p>
    <w:p>
      <w:pPr>
        <w:adjustRightInd w:val="0"/>
        <w:snapToGrid w:val="0"/>
        <w:spacing w:before="120" w:beforeLines="50" w:line="360" w:lineRule="auto"/>
        <w:rPr>
          <w:rFonts w:ascii="宋体"/>
          <w:b/>
          <w:szCs w:val="21"/>
        </w:rPr>
      </w:pPr>
    </w:p>
    <w:p>
      <w:pPr>
        <w:pStyle w:val="13"/>
        <w:rPr>
          <w:rFonts w:ascii="宋体"/>
          <w:b/>
          <w:szCs w:val="21"/>
        </w:rPr>
      </w:pPr>
    </w:p>
    <w:p>
      <w:pPr>
        <w:pStyle w:val="13"/>
        <w:rPr>
          <w:rFonts w:ascii="宋体"/>
          <w:b/>
          <w:szCs w:val="21"/>
        </w:rPr>
      </w:pPr>
    </w:p>
    <w:p>
      <w:pPr>
        <w:pStyle w:val="13"/>
        <w:rPr>
          <w:rFonts w:ascii="宋体"/>
          <w:b/>
          <w:szCs w:val="21"/>
        </w:rPr>
      </w:pPr>
    </w:p>
    <w:p>
      <w:pPr>
        <w:pStyle w:val="13"/>
        <w:rPr>
          <w:rFonts w:ascii="宋体"/>
          <w:b/>
          <w:szCs w:val="21"/>
        </w:rPr>
      </w:pPr>
    </w:p>
    <w:p>
      <w:pPr>
        <w:pStyle w:val="13"/>
        <w:rPr>
          <w:rFonts w:ascii="宋体"/>
          <w:b/>
          <w:szCs w:val="21"/>
        </w:rPr>
      </w:pPr>
    </w:p>
    <w:p>
      <w:pPr>
        <w:adjustRightInd w:val="0"/>
        <w:snapToGrid w:val="0"/>
        <w:spacing w:before="120" w:beforeLines="50" w:line="360" w:lineRule="auto"/>
        <w:rPr>
          <w:rFonts w:ascii="宋体" w:hAnsi="宋体"/>
          <w:szCs w:val="21"/>
        </w:rPr>
      </w:pPr>
    </w:p>
    <w:p>
      <w:pPr>
        <w:adjustRightInd w:val="0"/>
        <w:snapToGrid w:val="0"/>
        <w:spacing w:before="120" w:beforeLines="50" w:line="360" w:lineRule="auto"/>
        <w:rPr>
          <w:rFonts w:ascii="宋体"/>
          <w:szCs w:val="21"/>
        </w:rPr>
      </w:pPr>
      <w:r>
        <w:rPr>
          <w:rFonts w:hint="eastAsia" w:ascii="宋体" w:hAnsi="宋体"/>
          <w:szCs w:val="21"/>
        </w:rPr>
        <w:t>采购人（全称）：（甲方）</w:t>
      </w:r>
    </w:p>
    <w:p>
      <w:pPr>
        <w:adjustRightInd w:val="0"/>
        <w:snapToGrid w:val="0"/>
        <w:spacing w:before="120" w:beforeLines="50" w:line="360" w:lineRule="auto"/>
        <w:rPr>
          <w:rFonts w:ascii="宋体"/>
          <w:szCs w:val="21"/>
        </w:rPr>
      </w:pPr>
      <w:r>
        <w:rPr>
          <w:rFonts w:hint="eastAsia" w:ascii="宋体" w:hAnsi="宋体"/>
          <w:szCs w:val="21"/>
        </w:rPr>
        <w:t>供应商（全称）：（乙方）</w:t>
      </w:r>
    </w:p>
    <w:p>
      <w:pPr>
        <w:spacing w:line="360" w:lineRule="auto"/>
        <w:ind w:firstLine="424" w:firstLineChars="202"/>
        <w:rPr>
          <w:rFonts w:asci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项目的采购结果，按照《中华人民共和国政府采购法》《合同法》的规定，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p>
    <w:p>
      <w:pPr>
        <w:spacing w:line="360" w:lineRule="auto"/>
        <w:rPr>
          <w:rFonts w:ascii="宋体"/>
          <w:b/>
          <w:szCs w:val="21"/>
        </w:rPr>
      </w:pPr>
      <w:bookmarkStart w:id="144" w:name="_Toc8111_WPSOffice_Level2"/>
      <w:bookmarkStart w:id="145" w:name="_Toc12853_WPSOffice_Level3"/>
      <w:r>
        <w:rPr>
          <w:rFonts w:hint="eastAsia" w:ascii="宋体" w:hAnsi="宋体"/>
          <w:b/>
          <w:szCs w:val="21"/>
        </w:rPr>
        <w:t>一、货物内容</w:t>
      </w:r>
      <w:bookmarkEnd w:id="144"/>
      <w:bookmarkEnd w:id="145"/>
    </w:p>
    <w:tbl>
      <w:tblPr>
        <w:tblStyle w:val="3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150"/>
        <w:gridCol w:w="1260"/>
        <w:gridCol w:w="9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pPr>
              <w:jc w:val="center"/>
              <w:rPr>
                <w:rFonts w:ascii="宋体"/>
                <w:szCs w:val="21"/>
              </w:rPr>
            </w:pPr>
            <w:r>
              <w:rPr>
                <w:rFonts w:hint="eastAsia" w:ascii="宋体" w:hAnsi="宋体"/>
                <w:szCs w:val="21"/>
              </w:rPr>
              <w:t>序号</w:t>
            </w:r>
          </w:p>
        </w:tc>
        <w:tc>
          <w:tcPr>
            <w:tcW w:w="1155" w:type="dxa"/>
            <w:tcBorders>
              <w:left w:val="single" w:color="auto" w:sz="8" w:space="0"/>
            </w:tcBorders>
            <w:noWrap/>
            <w:vAlign w:val="center"/>
          </w:tcPr>
          <w:p>
            <w:pPr>
              <w:jc w:val="center"/>
              <w:rPr>
                <w:rFonts w:ascii="宋体"/>
                <w:szCs w:val="21"/>
              </w:rPr>
            </w:pPr>
            <w:r>
              <w:rPr>
                <w:rFonts w:hint="eastAsia" w:ascii="宋体" w:hAnsi="宋体"/>
                <w:szCs w:val="21"/>
              </w:rPr>
              <w:t>商品名称</w:t>
            </w:r>
          </w:p>
        </w:tc>
        <w:tc>
          <w:tcPr>
            <w:tcW w:w="3150" w:type="dxa"/>
            <w:tcBorders>
              <w:bottom w:val="single" w:color="auto" w:sz="8" w:space="0"/>
            </w:tcBorders>
            <w:noWrap/>
            <w:vAlign w:val="center"/>
          </w:tcPr>
          <w:p>
            <w:pPr>
              <w:jc w:val="center"/>
              <w:rPr>
                <w:rFonts w:ascii="宋体"/>
                <w:szCs w:val="21"/>
              </w:rPr>
            </w:pPr>
            <w:r>
              <w:rPr>
                <w:rFonts w:hint="eastAsia" w:ascii="宋体" w:hAnsi="宋体"/>
                <w:szCs w:val="21"/>
              </w:rPr>
              <w:t>品牌、规格型号、配置（性能参数）</w:t>
            </w:r>
          </w:p>
        </w:tc>
        <w:tc>
          <w:tcPr>
            <w:tcW w:w="1260" w:type="dxa"/>
            <w:tcBorders>
              <w:bottom w:val="single" w:color="auto" w:sz="8" w:space="0"/>
            </w:tcBorders>
            <w:noWrap/>
            <w:vAlign w:val="center"/>
          </w:tcPr>
          <w:p>
            <w:pPr>
              <w:jc w:val="center"/>
              <w:rPr>
                <w:rFonts w:ascii="宋体"/>
                <w:szCs w:val="21"/>
              </w:rPr>
            </w:pPr>
            <w:r>
              <w:rPr>
                <w:rFonts w:hint="eastAsia" w:ascii="宋体" w:hAnsi="宋体"/>
                <w:szCs w:val="21"/>
              </w:rPr>
              <w:t>产地</w:t>
            </w:r>
          </w:p>
        </w:tc>
        <w:tc>
          <w:tcPr>
            <w:tcW w:w="900" w:type="dxa"/>
            <w:tcBorders>
              <w:bottom w:val="single" w:color="auto" w:sz="8" w:space="0"/>
            </w:tcBorders>
            <w:noWrap/>
            <w:vAlign w:val="center"/>
          </w:tcPr>
          <w:p>
            <w:pPr>
              <w:jc w:val="center"/>
              <w:rPr>
                <w:rFonts w:ascii="宋体"/>
                <w:szCs w:val="21"/>
              </w:rPr>
            </w:pPr>
            <w:r>
              <w:rPr>
                <w:rFonts w:hint="eastAsia" w:ascii="宋体" w:hAnsi="宋体"/>
                <w:szCs w:val="21"/>
              </w:rPr>
              <w:t>数量</w:t>
            </w:r>
          </w:p>
        </w:tc>
        <w:tc>
          <w:tcPr>
            <w:tcW w:w="1080" w:type="dxa"/>
            <w:tcBorders>
              <w:bottom w:val="nil"/>
              <w:right w:val="single" w:color="auto" w:sz="8" w:space="0"/>
            </w:tcBorders>
            <w:noWrap/>
            <w:vAlign w:val="center"/>
          </w:tcPr>
          <w:p>
            <w:pPr>
              <w:jc w:val="center"/>
              <w:rPr>
                <w:rFonts w:ascii="宋体"/>
                <w:szCs w:val="21"/>
              </w:rPr>
            </w:pPr>
            <w:r>
              <w:rPr>
                <w:rFonts w:hint="eastAsia" w:ascii="宋体" w:hAnsi="宋体"/>
                <w:szCs w:val="21"/>
              </w:rPr>
              <w:t>单价</w:t>
            </w:r>
            <w:r>
              <w:rPr>
                <w:rFonts w:ascii="宋体" w:hAnsi="宋体"/>
                <w:szCs w:val="21"/>
              </w:rPr>
              <w:t>(</w:t>
            </w:r>
            <w:r>
              <w:rPr>
                <w:rFonts w:hint="eastAsia" w:ascii="宋体" w:hAnsi="宋体"/>
                <w:szCs w:val="21"/>
              </w:rPr>
              <w:t>元</w:t>
            </w:r>
            <w:r>
              <w:rPr>
                <w:rFonts w:ascii="宋体" w:hAnsi="宋体"/>
                <w:szCs w:val="21"/>
              </w:rPr>
              <w:t>)</w:t>
            </w:r>
          </w:p>
        </w:tc>
        <w:tc>
          <w:tcPr>
            <w:tcW w:w="1080" w:type="dxa"/>
            <w:tcBorders>
              <w:bottom w:val="nil"/>
              <w:right w:val="single" w:color="auto" w:sz="8" w:space="0"/>
            </w:tcBorders>
            <w:noWrap/>
            <w:vAlign w:val="center"/>
          </w:tcPr>
          <w:p>
            <w:pPr>
              <w:jc w:val="center"/>
              <w:rPr>
                <w:rFonts w:ascii="宋体"/>
                <w:szCs w:val="21"/>
              </w:rPr>
            </w:pPr>
            <w:r>
              <w:rPr>
                <w:rFonts w:hint="eastAsia" w:ascii="宋体" w:hAnsi="宋体"/>
                <w:szCs w:val="21"/>
              </w:rPr>
              <w:t>金额</w:t>
            </w:r>
            <w:r>
              <w:rPr>
                <w:rFonts w:ascii="宋体" w:hAnsi="宋体"/>
                <w:szCs w:val="21"/>
              </w:rPr>
              <w:t>(</w:t>
            </w:r>
            <w:r>
              <w:rPr>
                <w:rFonts w:hint="eastAsia" w:ascii="宋体" w:hAnsi="宋体"/>
                <w:szCs w:val="21"/>
              </w:rPr>
              <w:t>元</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pPr>
              <w:jc w:val="center"/>
              <w:rPr>
                <w:rFonts w:ascii="宋体"/>
                <w:szCs w:val="21"/>
              </w:rPr>
            </w:pPr>
            <w:r>
              <w:rPr>
                <w:rFonts w:ascii="宋体" w:hAnsi="宋体"/>
                <w:szCs w:val="21"/>
              </w:rPr>
              <w:t>1</w:t>
            </w:r>
          </w:p>
        </w:tc>
        <w:tc>
          <w:tcPr>
            <w:tcW w:w="1155" w:type="dxa"/>
            <w:tcBorders>
              <w:left w:val="single" w:color="auto" w:sz="8" w:space="0"/>
            </w:tcBorders>
            <w:noWrap/>
            <w:vAlign w:val="center"/>
          </w:tcPr>
          <w:p>
            <w:pPr>
              <w:rPr>
                <w:rFonts w:ascii="宋体"/>
                <w:szCs w:val="21"/>
              </w:rPr>
            </w:pPr>
          </w:p>
        </w:tc>
        <w:tc>
          <w:tcPr>
            <w:tcW w:w="3150" w:type="dxa"/>
            <w:noWrap/>
            <w:vAlign w:val="center"/>
          </w:tcPr>
          <w:p>
            <w:pPr>
              <w:rPr>
                <w:rFonts w:ascii="宋体"/>
                <w:szCs w:val="21"/>
              </w:rPr>
            </w:pPr>
          </w:p>
        </w:tc>
        <w:tc>
          <w:tcPr>
            <w:tcW w:w="1260" w:type="dxa"/>
            <w:tcBorders>
              <w:bottom w:val="single" w:color="auto" w:sz="8" w:space="0"/>
            </w:tcBorders>
            <w:noWrap/>
            <w:vAlign w:val="center"/>
          </w:tcPr>
          <w:p>
            <w:pPr>
              <w:rPr>
                <w:rFonts w:ascii="宋体"/>
                <w:szCs w:val="21"/>
              </w:rPr>
            </w:pPr>
          </w:p>
        </w:tc>
        <w:tc>
          <w:tcPr>
            <w:tcW w:w="900" w:type="dxa"/>
            <w:tcBorders>
              <w:bottom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pPr>
              <w:jc w:val="center"/>
              <w:rPr>
                <w:rFonts w:ascii="宋体"/>
                <w:szCs w:val="21"/>
              </w:rPr>
            </w:pPr>
            <w:r>
              <w:rPr>
                <w:rFonts w:ascii="宋体" w:hAnsi="宋体"/>
                <w:szCs w:val="21"/>
              </w:rPr>
              <w:t>2</w:t>
            </w:r>
          </w:p>
        </w:tc>
        <w:tc>
          <w:tcPr>
            <w:tcW w:w="1155" w:type="dxa"/>
            <w:tcBorders>
              <w:left w:val="single" w:color="auto" w:sz="8" w:space="0"/>
            </w:tcBorders>
            <w:noWrap/>
            <w:vAlign w:val="center"/>
          </w:tcPr>
          <w:p>
            <w:pPr>
              <w:rPr>
                <w:rFonts w:ascii="宋体"/>
                <w:szCs w:val="21"/>
              </w:rPr>
            </w:pPr>
          </w:p>
        </w:tc>
        <w:tc>
          <w:tcPr>
            <w:tcW w:w="3150" w:type="dxa"/>
            <w:noWrap/>
            <w:vAlign w:val="center"/>
          </w:tcPr>
          <w:p>
            <w:pPr>
              <w:rPr>
                <w:rFonts w:ascii="宋体"/>
                <w:szCs w:val="21"/>
              </w:rPr>
            </w:pPr>
          </w:p>
        </w:tc>
        <w:tc>
          <w:tcPr>
            <w:tcW w:w="1260" w:type="dxa"/>
            <w:tcBorders>
              <w:bottom w:val="single" w:color="auto" w:sz="8" w:space="0"/>
            </w:tcBorders>
            <w:noWrap/>
            <w:vAlign w:val="center"/>
          </w:tcPr>
          <w:p>
            <w:pPr>
              <w:rPr>
                <w:rFonts w:ascii="宋体"/>
                <w:szCs w:val="21"/>
              </w:rPr>
            </w:pPr>
          </w:p>
        </w:tc>
        <w:tc>
          <w:tcPr>
            <w:tcW w:w="900" w:type="dxa"/>
            <w:tcBorders>
              <w:bottom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pPr>
              <w:jc w:val="center"/>
              <w:rPr>
                <w:rFonts w:ascii="宋体"/>
                <w:szCs w:val="21"/>
              </w:rPr>
            </w:pPr>
            <w:r>
              <w:rPr>
                <w:rFonts w:ascii="宋体" w:hAnsi="宋体"/>
                <w:szCs w:val="21"/>
              </w:rPr>
              <w:t>3</w:t>
            </w:r>
          </w:p>
        </w:tc>
        <w:tc>
          <w:tcPr>
            <w:tcW w:w="1155" w:type="dxa"/>
            <w:tcBorders>
              <w:left w:val="single" w:color="auto" w:sz="8" w:space="0"/>
            </w:tcBorders>
            <w:noWrap/>
            <w:vAlign w:val="center"/>
          </w:tcPr>
          <w:p>
            <w:pPr>
              <w:rPr>
                <w:rFonts w:ascii="宋体"/>
                <w:szCs w:val="21"/>
              </w:rPr>
            </w:pPr>
          </w:p>
        </w:tc>
        <w:tc>
          <w:tcPr>
            <w:tcW w:w="3150" w:type="dxa"/>
            <w:noWrap/>
            <w:vAlign w:val="center"/>
          </w:tcPr>
          <w:p>
            <w:pPr>
              <w:rPr>
                <w:rFonts w:ascii="宋体"/>
                <w:szCs w:val="21"/>
              </w:rPr>
            </w:pPr>
          </w:p>
        </w:tc>
        <w:tc>
          <w:tcPr>
            <w:tcW w:w="1260" w:type="dxa"/>
            <w:tcBorders>
              <w:bottom w:val="single" w:color="auto" w:sz="8" w:space="0"/>
            </w:tcBorders>
            <w:noWrap/>
            <w:vAlign w:val="center"/>
          </w:tcPr>
          <w:p>
            <w:pPr>
              <w:rPr>
                <w:rFonts w:ascii="宋体"/>
                <w:szCs w:val="21"/>
              </w:rPr>
            </w:pPr>
          </w:p>
        </w:tc>
        <w:tc>
          <w:tcPr>
            <w:tcW w:w="900" w:type="dxa"/>
            <w:tcBorders>
              <w:bottom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pPr>
              <w:jc w:val="center"/>
              <w:rPr>
                <w:rFonts w:ascii="宋体"/>
                <w:szCs w:val="21"/>
              </w:rPr>
            </w:pPr>
            <w:r>
              <w:rPr>
                <w:rFonts w:ascii="宋体" w:hAnsi="宋体"/>
                <w:szCs w:val="21"/>
              </w:rPr>
              <w:t>4</w:t>
            </w:r>
          </w:p>
        </w:tc>
        <w:tc>
          <w:tcPr>
            <w:tcW w:w="1155" w:type="dxa"/>
            <w:tcBorders>
              <w:left w:val="single" w:color="auto" w:sz="8" w:space="0"/>
            </w:tcBorders>
            <w:noWrap/>
            <w:vAlign w:val="center"/>
          </w:tcPr>
          <w:p>
            <w:pPr>
              <w:rPr>
                <w:rFonts w:ascii="宋体"/>
                <w:szCs w:val="21"/>
              </w:rPr>
            </w:pPr>
          </w:p>
        </w:tc>
        <w:tc>
          <w:tcPr>
            <w:tcW w:w="3150" w:type="dxa"/>
            <w:noWrap/>
            <w:vAlign w:val="center"/>
          </w:tcPr>
          <w:p>
            <w:pPr>
              <w:rPr>
                <w:rFonts w:ascii="宋体"/>
                <w:szCs w:val="21"/>
              </w:rPr>
            </w:pPr>
          </w:p>
        </w:tc>
        <w:tc>
          <w:tcPr>
            <w:tcW w:w="1260" w:type="dxa"/>
            <w:tcBorders>
              <w:bottom w:val="single" w:color="auto" w:sz="8" w:space="0"/>
            </w:tcBorders>
            <w:noWrap/>
            <w:vAlign w:val="center"/>
          </w:tcPr>
          <w:p>
            <w:pPr>
              <w:rPr>
                <w:rFonts w:ascii="宋体"/>
                <w:szCs w:val="21"/>
              </w:rPr>
            </w:pPr>
          </w:p>
        </w:tc>
        <w:tc>
          <w:tcPr>
            <w:tcW w:w="900" w:type="dxa"/>
            <w:tcBorders>
              <w:bottom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c>
          <w:tcPr>
            <w:tcW w:w="1080" w:type="dxa"/>
            <w:tcBorders>
              <w:bottom w:val="nil"/>
              <w:right w:val="single" w:color="auto" w:sz="8" w:space="0"/>
            </w:tcBorders>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9360" w:type="dxa"/>
            <w:gridSpan w:val="7"/>
            <w:tcBorders>
              <w:left w:val="single" w:color="auto" w:sz="8" w:space="0"/>
              <w:right w:val="single" w:color="auto" w:sz="8" w:space="0"/>
            </w:tcBorders>
            <w:noWrap/>
            <w:vAlign w:val="center"/>
          </w:tcPr>
          <w:p>
            <w:pPr>
              <w:rPr>
                <w:rFonts w:ascii="宋体"/>
                <w:szCs w:val="21"/>
              </w:rPr>
            </w:pPr>
            <w:r>
              <w:rPr>
                <w:rFonts w:hint="eastAsia" w:ascii="宋体" w:hAnsi="宋体"/>
                <w:szCs w:val="21"/>
              </w:rPr>
              <w:t>合计总额：￥；大写：</w:t>
            </w:r>
          </w:p>
        </w:tc>
      </w:tr>
    </w:tbl>
    <w:p>
      <w:pPr>
        <w:spacing w:line="360" w:lineRule="auto"/>
        <w:ind w:firstLine="420" w:firstLineChars="200"/>
        <w:rPr>
          <w:rFonts w:ascii="宋体"/>
          <w:szCs w:val="21"/>
        </w:rPr>
      </w:pPr>
      <w:r>
        <w:rPr>
          <w:rFonts w:hint="eastAsia" w:ascii="宋体" w:hAnsi="宋体"/>
          <w:szCs w:val="21"/>
        </w:rPr>
        <w:t>合同总额包括乙方安装、随机零配件、标配工具、运输保险、调试、培训、质保期服务、检测费、各项税费及合同实施过程中不可预见费用等。</w:t>
      </w:r>
    </w:p>
    <w:p>
      <w:pPr>
        <w:spacing w:line="360" w:lineRule="auto"/>
        <w:ind w:firstLine="420" w:firstLineChars="200"/>
        <w:rPr>
          <w:rFonts w:ascii="宋体"/>
          <w:szCs w:val="21"/>
        </w:rPr>
      </w:pPr>
      <w:r>
        <w:rPr>
          <w:rFonts w:hint="eastAsia" w:ascii="宋体" w:hAnsi="宋体"/>
          <w:szCs w:val="21"/>
        </w:rPr>
        <w:t>注：货物名称内容必须与谈判文件中货物名称内容一致，并包含不低于100：5的比例提供相应的胶套、螺丝及五金配件（配件种类、数量按乙方在投标文件中承诺填写）。。</w:t>
      </w:r>
    </w:p>
    <w:p>
      <w:pPr>
        <w:tabs>
          <w:tab w:val="left" w:pos="851"/>
        </w:tabs>
        <w:spacing w:line="360" w:lineRule="auto"/>
        <w:rPr>
          <w:rFonts w:ascii="宋体"/>
          <w:b/>
          <w:szCs w:val="21"/>
        </w:rPr>
      </w:pPr>
      <w:bookmarkStart w:id="146" w:name="_Toc19055_WPSOffice_Level3"/>
      <w:bookmarkStart w:id="147" w:name="_Toc4081_WPSOffice_Level2"/>
      <w:r>
        <w:rPr>
          <w:rFonts w:hint="eastAsia" w:ascii="宋体" w:hAnsi="宋体"/>
          <w:b/>
          <w:szCs w:val="21"/>
        </w:rPr>
        <w:t>二、合同金额</w:t>
      </w:r>
      <w:bookmarkEnd w:id="146"/>
      <w:bookmarkEnd w:id="147"/>
    </w:p>
    <w:p>
      <w:pPr>
        <w:spacing w:line="360" w:lineRule="auto"/>
        <w:ind w:left="540" w:hanging="540"/>
        <w:rPr>
          <w:rFonts w:hAnsi="宋体"/>
        </w:rPr>
      </w:pPr>
      <w:r>
        <w:rPr>
          <w:rFonts w:hAnsi="宋体"/>
        </w:rPr>
        <w:tab/>
      </w:r>
      <w:r>
        <w:rPr>
          <w:rFonts w:hint="eastAsia" w:hAnsi="宋体"/>
        </w:rPr>
        <w:t>合同金额为（大写）：</w:t>
      </w:r>
      <w:r>
        <w:rPr>
          <w:rFonts w:hAnsi="宋体"/>
        </w:rPr>
        <w:t>_________________</w:t>
      </w:r>
      <w:r>
        <w:rPr>
          <w:rFonts w:hint="eastAsia" w:hAnsi="宋体"/>
        </w:rPr>
        <w:t>元（￥</w:t>
      </w:r>
      <w:r>
        <w:rPr>
          <w:rFonts w:hAnsi="宋体"/>
        </w:rPr>
        <w:t>_______________</w:t>
      </w:r>
      <w:r>
        <w:rPr>
          <w:rFonts w:hint="eastAsia" w:hAnsi="宋体"/>
        </w:rPr>
        <w:t>元）人民币。</w:t>
      </w:r>
    </w:p>
    <w:p>
      <w:pPr>
        <w:tabs>
          <w:tab w:val="left" w:pos="851"/>
        </w:tabs>
        <w:spacing w:line="360" w:lineRule="auto"/>
        <w:rPr>
          <w:rFonts w:ascii="宋体"/>
          <w:b/>
          <w:szCs w:val="21"/>
        </w:rPr>
      </w:pPr>
      <w:bookmarkStart w:id="148" w:name="_Toc22224_WPSOffice_Level3"/>
      <w:bookmarkStart w:id="149" w:name="_Toc25325_WPSOffice_Level2"/>
      <w:r>
        <w:rPr>
          <w:rFonts w:hint="eastAsia" w:ascii="宋体" w:hAnsi="宋体"/>
          <w:b/>
          <w:szCs w:val="21"/>
        </w:rPr>
        <w:t>三、设备要求</w:t>
      </w:r>
      <w:bookmarkEnd w:id="148"/>
      <w:bookmarkEnd w:id="149"/>
    </w:p>
    <w:p>
      <w:pPr>
        <w:spacing w:line="360" w:lineRule="auto"/>
        <w:ind w:hanging="311"/>
        <w:jc w:val="left"/>
        <w:rPr>
          <w:rFonts w:ascii="宋体"/>
          <w:szCs w:val="21"/>
        </w:rPr>
      </w:pPr>
      <w:r>
        <w:rPr>
          <w:rFonts w:ascii="宋体"/>
          <w:szCs w:val="21"/>
        </w:rPr>
        <w:tab/>
      </w:r>
      <w:r>
        <w:rPr>
          <w:rFonts w:hint="eastAsia" w:ascii="宋体"/>
          <w:szCs w:val="21"/>
        </w:rPr>
        <w:t xml:space="preserve">    </w:t>
      </w:r>
      <w:r>
        <w:rPr>
          <w:rFonts w:hint="eastAsia" w:ascii="宋体" w:hAnsi="宋体"/>
          <w:szCs w:val="21"/>
        </w:rPr>
        <w:t>货物为原制造商制造的全新产品，整机无污染，无侵权行为、表面无划损、无任何缺陷隐患，在中国境内可依常规安全合法使用。</w:t>
      </w:r>
    </w:p>
    <w:p>
      <w:pPr>
        <w:tabs>
          <w:tab w:val="left" w:pos="851"/>
        </w:tabs>
        <w:spacing w:line="360" w:lineRule="auto"/>
        <w:rPr>
          <w:rFonts w:ascii="宋体"/>
          <w:b/>
          <w:szCs w:val="21"/>
        </w:rPr>
      </w:pPr>
      <w:bookmarkStart w:id="150" w:name="_Toc13234_WPSOffice_Level3"/>
      <w:bookmarkStart w:id="151" w:name="_Toc9761_WPSOffice_Level2"/>
      <w:r>
        <w:rPr>
          <w:rFonts w:hint="eastAsia" w:ascii="宋体" w:hAnsi="宋体"/>
          <w:b/>
          <w:szCs w:val="21"/>
        </w:rPr>
        <w:t>四、交货期、交货方式及交货地点</w:t>
      </w:r>
      <w:bookmarkEnd w:id="150"/>
      <w:bookmarkEnd w:id="151"/>
    </w:p>
    <w:p>
      <w:pPr>
        <w:tabs>
          <w:tab w:val="left" w:pos="851"/>
        </w:tabs>
        <w:spacing w:line="360" w:lineRule="auto"/>
        <w:ind w:left="851" w:hanging="851"/>
        <w:rPr>
          <w:rFonts w:ascii="宋体"/>
          <w:szCs w:val="21"/>
        </w:rPr>
      </w:pPr>
      <w:bookmarkStart w:id="152" w:name="_Toc6428_WPSOffice_Level3"/>
      <w:r>
        <w:rPr>
          <w:rFonts w:ascii="宋体" w:hAnsi="宋体"/>
          <w:szCs w:val="21"/>
        </w:rPr>
        <w:t>1.</w:t>
      </w:r>
      <w:r>
        <w:rPr>
          <w:rFonts w:hint="eastAsia" w:ascii="宋体" w:hAnsi="宋体"/>
          <w:szCs w:val="21"/>
        </w:rPr>
        <w:t>交货期：</w:t>
      </w:r>
      <w:bookmarkEnd w:id="152"/>
      <w:r>
        <w:rPr>
          <w:rFonts w:hint="eastAsia" w:ascii="宋体" w:hAnsi="宋体"/>
          <w:szCs w:val="21"/>
        </w:rPr>
        <w:t>合同签订后30个日历天，并根据采购方要求分批送货、安装。</w:t>
      </w:r>
    </w:p>
    <w:p>
      <w:pPr>
        <w:tabs>
          <w:tab w:val="left" w:pos="851"/>
        </w:tabs>
        <w:spacing w:line="360" w:lineRule="auto"/>
        <w:ind w:left="851" w:hanging="851"/>
        <w:rPr>
          <w:rFonts w:ascii="宋体"/>
          <w:szCs w:val="21"/>
        </w:rPr>
      </w:pPr>
      <w:bookmarkStart w:id="153" w:name="_Toc5768_WPSOffice_Level3"/>
      <w:r>
        <w:rPr>
          <w:rFonts w:ascii="宋体" w:hAnsi="宋体"/>
          <w:szCs w:val="21"/>
        </w:rPr>
        <w:t>2.</w:t>
      </w:r>
      <w:r>
        <w:rPr>
          <w:rFonts w:hint="eastAsia" w:ascii="宋体" w:hAnsi="宋体"/>
          <w:szCs w:val="21"/>
        </w:rPr>
        <w:t>交货方式：</w:t>
      </w:r>
      <w:bookmarkEnd w:id="153"/>
      <w:r>
        <w:rPr>
          <w:rFonts w:hint="eastAsia" w:ascii="宋体" w:hAnsi="宋体"/>
          <w:szCs w:val="21"/>
        </w:rPr>
        <w:t>完成安装并按甲方要求摆放</w:t>
      </w:r>
      <w:r>
        <w:rPr>
          <w:rFonts w:hint="eastAsia" w:ascii="宋体"/>
          <w:szCs w:val="21"/>
        </w:rPr>
        <w:t>。</w:t>
      </w:r>
    </w:p>
    <w:p>
      <w:pPr>
        <w:tabs>
          <w:tab w:val="left" w:pos="851"/>
        </w:tabs>
        <w:spacing w:line="360" w:lineRule="auto"/>
        <w:ind w:left="851" w:hanging="851"/>
        <w:rPr>
          <w:rFonts w:ascii="宋体"/>
          <w:szCs w:val="21"/>
        </w:rPr>
      </w:pPr>
      <w:bookmarkStart w:id="154" w:name="_Toc20297_WPSOffice_Level3"/>
      <w:r>
        <w:rPr>
          <w:rFonts w:ascii="宋体" w:hAnsi="宋体"/>
          <w:szCs w:val="21"/>
        </w:rPr>
        <w:t>3.</w:t>
      </w:r>
      <w:r>
        <w:rPr>
          <w:rFonts w:hint="eastAsia" w:ascii="宋体" w:hAnsi="宋体"/>
          <w:szCs w:val="21"/>
        </w:rPr>
        <w:t>交货地点：</w:t>
      </w:r>
      <w:bookmarkEnd w:id="154"/>
      <w:r>
        <w:rPr>
          <w:rFonts w:hint="eastAsia" w:ascii="宋体" w:hAnsi="宋体"/>
          <w:szCs w:val="21"/>
        </w:rPr>
        <w:t>甲方指定的地点。</w:t>
      </w:r>
    </w:p>
    <w:p>
      <w:pPr>
        <w:tabs>
          <w:tab w:val="left" w:pos="851"/>
        </w:tabs>
        <w:spacing w:line="360" w:lineRule="auto"/>
        <w:ind w:left="851" w:hanging="851"/>
        <w:rPr>
          <w:rFonts w:ascii="宋体"/>
          <w:szCs w:val="21"/>
        </w:rPr>
      </w:pPr>
      <w:bookmarkStart w:id="155" w:name="_Toc21358_WPSOffice_Level3"/>
      <w:bookmarkStart w:id="156" w:name="_Toc29121_WPSOffice_Level2"/>
      <w:r>
        <w:rPr>
          <w:rFonts w:hint="eastAsia" w:ascii="宋体" w:hAnsi="宋体"/>
          <w:b/>
          <w:szCs w:val="21"/>
        </w:rPr>
        <w:t>五、付款方式</w:t>
      </w:r>
      <w:bookmarkEnd w:id="155"/>
      <w:bookmarkEnd w:id="156"/>
    </w:p>
    <w:p>
      <w:pPr>
        <w:spacing w:line="360" w:lineRule="auto"/>
        <w:ind w:left="180" w:hanging="180"/>
        <w:rPr>
          <w:rFonts w:ascii="宋体"/>
          <w:szCs w:val="21"/>
        </w:rPr>
      </w:pPr>
      <w:r>
        <w:rPr>
          <w:rFonts w:ascii="宋体"/>
          <w:szCs w:val="21"/>
        </w:rPr>
        <w:tab/>
      </w:r>
      <w:r>
        <w:rPr>
          <w:rFonts w:hint="eastAsia" w:ascii="宋体" w:hAnsi="宋体"/>
          <w:szCs w:val="21"/>
        </w:rPr>
        <w:t>由甲方按下列程序在内付款：</w:t>
      </w:r>
    </w:p>
    <w:p>
      <w:pPr>
        <w:tabs>
          <w:tab w:val="left" w:pos="851"/>
        </w:tabs>
        <w:spacing w:line="360" w:lineRule="auto"/>
        <w:ind w:left="851" w:hanging="851"/>
        <w:rPr>
          <w:rFonts w:ascii="宋体"/>
          <w:szCs w:val="21"/>
        </w:rPr>
      </w:pPr>
      <w:r>
        <w:rPr>
          <w:rFonts w:ascii="宋体" w:hAnsi="宋体"/>
          <w:szCs w:val="21"/>
        </w:rPr>
        <w:t>1.</w:t>
      </w:r>
      <w:r>
        <w:rPr>
          <w:rFonts w:hint="eastAsia" w:ascii="宋体" w:hAnsi="宋体"/>
          <w:szCs w:val="21"/>
        </w:rPr>
        <w:t>预付款：无。</w:t>
      </w:r>
    </w:p>
    <w:p>
      <w:pPr>
        <w:spacing w:line="360" w:lineRule="auto"/>
        <w:ind w:left="-10" w:leftChars="-5"/>
        <w:rPr>
          <w:rFonts w:ascii="宋体" w:hAnsi="宋体"/>
          <w:szCs w:val="21"/>
        </w:rPr>
      </w:pPr>
      <w:r>
        <w:rPr>
          <w:rFonts w:ascii="宋体" w:hAnsi="宋体"/>
          <w:szCs w:val="21"/>
        </w:rPr>
        <w:t>2.</w:t>
      </w:r>
      <w:r>
        <w:rPr>
          <w:rFonts w:hint="eastAsia" w:ascii="宋体" w:hAnsi="宋体"/>
          <w:szCs w:val="21"/>
        </w:rPr>
        <w:t>设备安装调试结束，提交全部报告材料，调试完成并验收合格后，支付至合同金额的100</w:t>
      </w:r>
      <w:r>
        <w:rPr>
          <w:rFonts w:ascii="宋体" w:hAnsi="宋体"/>
          <w:szCs w:val="21"/>
        </w:rPr>
        <w:t>%</w:t>
      </w:r>
      <w:r>
        <w:rPr>
          <w:rFonts w:hint="eastAsia" w:ascii="宋体" w:hAnsi="宋体"/>
          <w:szCs w:val="21"/>
        </w:rPr>
        <w:t>。</w:t>
      </w:r>
    </w:p>
    <w:p>
      <w:pPr>
        <w:tabs>
          <w:tab w:val="left" w:pos="851"/>
        </w:tabs>
        <w:spacing w:line="360" w:lineRule="auto"/>
        <w:ind w:left="851" w:hanging="851"/>
        <w:rPr>
          <w:rFonts w:ascii="宋体" w:hAnsi="宋体"/>
          <w:b/>
          <w:szCs w:val="21"/>
        </w:rPr>
      </w:pPr>
      <w:r>
        <w:rPr>
          <w:rFonts w:hint="eastAsia" w:ascii="宋体" w:hAnsi="宋体"/>
          <w:b/>
          <w:szCs w:val="21"/>
        </w:rPr>
        <w:t>六、履约保金及质保金</w:t>
      </w:r>
    </w:p>
    <w:p>
      <w:pPr>
        <w:spacing w:line="360" w:lineRule="auto"/>
        <w:ind w:left="-10" w:leftChars="-5" w:firstLine="420" w:firstLineChars="200"/>
      </w:pPr>
      <w:r>
        <w:rPr>
          <w:rFonts w:hint="eastAsia" w:ascii="宋体" w:hAnsi="宋体"/>
          <w:szCs w:val="21"/>
        </w:rPr>
        <w:t>合同签订之前，供应商按合同金额的3</w:t>
      </w:r>
      <w:r>
        <w:rPr>
          <w:rFonts w:ascii="宋体" w:hAnsi="宋体"/>
          <w:szCs w:val="21"/>
        </w:rPr>
        <w:t>%</w:t>
      </w:r>
      <w:r>
        <w:rPr>
          <w:rFonts w:hint="eastAsia" w:ascii="宋体" w:hAnsi="宋体"/>
          <w:szCs w:val="21"/>
        </w:rPr>
        <w:t>向采购人交纳履约保证金，履约保证金在供应商按合同约定交货验收合格后转为质量保证金，满3年后在</w:t>
      </w:r>
      <w:r>
        <w:rPr>
          <w:rFonts w:ascii="宋体" w:hAnsi="宋体"/>
          <w:szCs w:val="21"/>
        </w:rPr>
        <w:t>20</w:t>
      </w:r>
      <w:r>
        <w:rPr>
          <w:rFonts w:hint="eastAsia" w:ascii="宋体" w:hAnsi="宋体"/>
          <w:szCs w:val="21"/>
        </w:rPr>
        <w:t>个工作日内甲方一次性无息退还乙方。</w:t>
      </w:r>
    </w:p>
    <w:p>
      <w:pPr>
        <w:spacing w:line="360" w:lineRule="auto"/>
        <w:ind w:left="851" w:hanging="851"/>
        <w:rPr>
          <w:rFonts w:ascii="宋体"/>
          <w:szCs w:val="21"/>
        </w:rPr>
      </w:pPr>
      <w:bookmarkStart w:id="157" w:name="_Toc12827_WPSOffice_Level2"/>
      <w:bookmarkStart w:id="158" w:name="_Toc23491_WPSOffice_Level3"/>
      <w:r>
        <w:rPr>
          <w:rFonts w:hint="eastAsia" w:ascii="宋体" w:hAnsi="宋体"/>
          <w:b/>
          <w:szCs w:val="21"/>
        </w:rPr>
        <w:t>七、质保期及售后服务要求</w:t>
      </w:r>
      <w:bookmarkEnd w:id="157"/>
      <w:bookmarkEnd w:id="158"/>
    </w:p>
    <w:p>
      <w:pPr>
        <w:spacing w:line="360" w:lineRule="auto"/>
        <w:rPr>
          <w:rFonts w:ascii="宋体" w:hAnsi="宋体"/>
          <w:szCs w:val="21"/>
        </w:rPr>
      </w:pPr>
      <w:bookmarkStart w:id="159" w:name="_Toc11294_WPSOffice_Level3"/>
      <w:bookmarkStart w:id="160" w:name="_Toc7817_WPSOffice_Level2"/>
      <w:r>
        <w:rPr>
          <w:rFonts w:hint="eastAsia" w:ascii="宋体" w:hAnsi="宋体"/>
          <w:szCs w:val="21"/>
        </w:rPr>
        <w:t>1.本合同的质量保证期（简称“质保期”）为质量保证期不少于3年，质保期内乙方对所供货物实行包修、包换、包退及合同约定的其它事项，期满后可同时提供终身(免费/有偿)维修保养服务。</w:t>
      </w:r>
    </w:p>
    <w:p>
      <w:pPr>
        <w:tabs>
          <w:tab w:val="left" w:pos="-900"/>
        </w:tabs>
        <w:spacing w:line="360" w:lineRule="auto"/>
        <w:ind w:left="-10" w:leftChars="-5" w:firstLine="105" w:firstLineChars="50"/>
        <w:rPr>
          <w:rFonts w:ascii="宋体"/>
          <w:szCs w:val="21"/>
        </w:rPr>
      </w:pPr>
      <w:r>
        <w:rPr>
          <w:rFonts w:ascii="宋体" w:hAnsi="宋体"/>
          <w:szCs w:val="21"/>
        </w:rPr>
        <w:t>2.</w:t>
      </w:r>
      <w:r>
        <w:rPr>
          <w:rFonts w:hint="eastAsia" w:ascii="宋体" w:hAnsi="宋体"/>
          <w:szCs w:val="21"/>
        </w:rPr>
        <w:t>质保期内，如设备或零部件因质量原因出现故障而造成短期停用时，则质保期和免费维修期相应顺延。如停用时间累计超过</w:t>
      </w:r>
      <w:r>
        <w:rPr>
          <w:rFonts w:ascii="宋体" w:hAnsi="宋体"/>
          <w:szCs w:val="21"/>
        </w:rPr>
        <w:t>60</w:t>
      </w:r>
      <w:r>
        <w:rPr>
          <w:rFonts w:hint="eastAsia" w:ascii="宋体" w:hAnsi="宋体"/>
          <w:szCs w:val="21"/>
        </w:rPr>
        <w:t>天则质保期重新计算。</w:t>
      </w:r>
    </w:p>
    <w:p>
      <w:pPr>
        <w:tabs>
          <w:tab w:val="left" w:pos="-540"/>
        </w:tabs>
        <w:spacing w:line="360" w:lineRule="auto"/>
        <w:ind w:left="-2" w:leftChars="-1" w:firstLine="105" w:firstLineChars="50"/>
        <w:rPr>
          <w:rFonts w:ascii="宋体" w:hAnsi="宋体"/>
          <w:szCs w:val="21"/>
        </w:rPr>
      </w:pPr>
      <w:r>
        <w:rPr>
          <w:rFonts w:ascii="宋体" w:hAnsi="宋体"/>
          <w:szCs w:val="21"/>
        </w:rPr>
        <w:t>3.</w:t>
      </w:r>
      <w:r>
        <w:rPr>
          <w:rFonts w:hint="eastAsia" w:ascii="宋体" w:hAnsi="宋体"/>
          <w:szCs w:val="21"/>
        </w:rPr>
        <w:t>对甲方的服务通知，乙方在接报后</w:t>
      </w:r>
      <w:r>
        <w:rPr>
          <w:rFonts w:ascii="宋体" w:hAnsi="宋体"/>
          <w:szCs w:val="21"/>
        </w:rPr>
        <w:t>1</w:t>
      </w:r>
      <w:r>
        <w:rPr>
          <w:rFonts w:hint="eastAsia" w:ascii="宋体" w:hAnsi="宋体"/>
          <w:szCs w:val="21"/>
        </w:rPr>
        <w:t>小时内响应，2小时内到达现场，12小时内处理完毕。若在12小时内仍未能有效解决，乙方须免费提供同档次的设备予甲方临时使用。</w:t>
      </w:r>
    </w:p>
    <w:p>
      <w:pPr>
        <w:tabs>
          <w:tab w:val="left" w:pos="-540"/>
        </w:tabs>
        <w:spacing w:line="360" w:lineRule="auto"/>
        <w:ind w:left="-2" w:leftChars="-1" w:firstLine="105" w:firstLineChars="50"/>
        <w:rPr>
          <w:rFonts w:ascii="宋体"/>
          <w:szCs w:val="21"/>
        </w:rPr>
      </w:pPr>
      <w:r>
        <w:rPr>
          <w:rFonts w:hint="eastAsia" w:ascii="宋体" w:hAnsi="宋体"/>
          <w:b/>
          <w:szCs w:val="21"/>
        </w:rPr>
        <w:t>八、安装与调试</w:t>
      </w:r>
      <w:bookmarkEnd w:id="159"/>
      <w:bookmarkEnd w:id="160"/>
    </w:p>
    <w:p>
      <w:pPr>
        <w:tabs>
          <w:tab w:val="left" w:pos="-720"/>
        </w:tabs>
        <w:spacing w:line="360" w:lineRule="auto"/>
        <w:ind w:left="-6" w:leftChars="-3"/>
        <w:rPr>
          <w:rFonts w:ascii="宋体"/>
          <w:szCs w:val="21"/>
        </w:rPr>
      </w:pPr>
      <w:r>
        <w:rPr>
          <w:rFonts w:hint="eastAsia" w:ascii="宋体" w:hAnsi="宋体"/>
          <w:szCs w:val="21"/>
        </w:rPr>
        <w:t xml:space="preserve">     乙方必须依照谈判文件的要求和谈判文件的承诺，将设备、系统安装并调试至正常运行的最佳状态。</w:t>
      </w:r>
    </w:p>
    <w:p>
      <w:pPr>
        <w:tabs>
          <w:tab w:val="left" w:pos="-540"/>
        </w:tabs>
        <w:spacing w:line="360" w:lineRule="auto"/>
        <w:ind w:left="-2" w:leftChars="-1" w:firstLine="105" w:firstLineChars="50"/>
        <w:rPr>
          <w:rFonts w:ascii="宋体"/>
          <w:b/>
          <w:szCs w:val="21"/>
        </w:rPr>
      </w:pPr>
      <w:bookmarkStart w:id="161" w:name="_Toc24366_WPSOffice_Level3"/>
      <w:bookmarkStart w:id="162" w:name="_Toc19260_WPSOffice_Level2"/>
      <w:r>
        <w:rPr>
          <w:rFonts w:hint="eastAsia" w:ascii="宋体" w:hAnsi="宋体"/>
          <w:b/>
          <w:szCs w:val="21"/>
        </w:rPr>
        <w:t>九、验收：</w:t>
      </w:r>
      <w:bookmarkEnd w:id="161"/>
      <w:bookmarkEnd w:id="162"/>
    </w:p>
    <w:p>
      <w:pPr>
        <w:tabs>
          <w:tab w:val="left" w:pos="-540"/>
        </w:tabs>
        <w:spacing w:line="360" w:lineRule="auto"/>
        <w:ind w:left="-10" w:leftChars="-5" w:firstLine="8" w:firstLineChars="4"/>
        <w:rPr>
          <w:rFonts w:ascii="宋体"/>
          <w:szCs w:val="21"/>
        </w:rPr>
      </w:pPr>
      <w:r>
        <w:rPr>
          <w:rFonts w:ascii="宋体" w:hAnsi="宋体"/>
          <w:szCs w:val="21"/>
        </w:rPr>
        <w:t>1.</w:t>
      </w:r>
      <w:r>
        <w:rPr>
          <w:rFonts w:hint="eastAsia" w:ascii="宋体" w:hAnsi="宋体"/>
          <w:szCs w:val="21"/>
        </w:rPr>
        <w:t>交付验收标准</w:t>
      </w:r>
      <w:r>
        <w:rPr>
          <w:rFonts w:hint="eastAsia" w:ascii="宋体" w:hAnsi="宋体"/>
          <w:szCs w:val="21"/>
          <w:lang w:val="en-GB"/>
        </w:rPr>
        <w:t>依次序对照适用</w:t>
      </w:r>
      <w:r>
        <w:rPr>
          <w:rFonts w:hint="eastAsia" w:ascii="宋体" w:hAnsi="宋体"/>
          <w:szCs w:val="21"/>
        </w:rPr>
        <w:t>标准</w:t>
      </w:r>
      <w:r>
        <w:rPr>
          <w:rFonts w:hint="eastAsia" w:ascii="宋体" w:hAnsi="宋体"/>
          <w:szCs w:val="21"/>
          <w:lang w:val="en-GB"/>
        </w:rPr>
        <w:t>为：</w:t>
      </w:r>
      <w:r>
        <w:rPr>
          <w:rFonts w:hint="eastAsia" w:ascii="宋体" w:hAnsi="宋体"/>
          <w:szCs w:val="21"/>
        </w:rPr>
        <w:t>①符合中华人民共和国国家安全质量标准、环保标准或行业标准；②符合谈判文件和响应承诺中甲方认可的合理最佳配置、参数及各项要求；③货物来源国官方标准。</w:t>
      </w:r>
    </w:p>
    <w:p>
      <w:pPr>
        <w:tabs>
          <w:tab w:val="left" w:pos="-540"/>
        </w:tabs>
        <w:spacing w:line="360" w:lineRule="auto"/>
        <w:ind w:left="-10" w:leftChars="-5" w:firstLine="8" w:firstLineChars="4"/>
        <w:rPr>
          <w:rFonts w:ascii="宋体"/>
          <w:szCs w:val="21"/>
        </w:rPr>
      </w:pPr>
      <w:r>
        <w:rPr>
          <w:rFonts w:ascii="宋体" w:hAnsi="宋体"/>
          <w:szCs w:val="21"/>
        </w:rPr>
        <w:t>2.</w:t>
      </w:r>
      <w:r>
        <w:rPr>
          <w:rFonts w:hint="eastAsia" w:ascii="宋体" w:hAnsi="宋体"/>
          <w:szCs w:val="21"/>
        </w:rPr>
        <w:t>进口产品必须具备原产地证明和商检局的检验证明及合法进货渠道证明。</w:t>
      </w:r>
    </w:p>
    <w:p>
      <w:pPr>
        <w:tabs>
          <w:tab w:val="left" w:pos="-540"/>
        </w:tabs>
        <w:spacing w:line="360" w:lineRule="auto"/>
        <w:ind w:left="-10" w:leftChars="-5" w:firstLine="8" w:firstLineChars="4"/>
        <w:rPr>
          <w:rFonts w:ascii="宋体"/>
          <w:szCs w:val="21"/>
        </w:rPr>
      </w:pPr>
      <w:r>
        <w:rPr>
          <w:rFonts w:ascii="宋体" w:hAnsi="宋体"/>
          <w:szCs w:val="21"/>
        </w:rPr>
        <w:t>3.</w:t>
      </w:r>
      <w:r>
        <w:rPr>
          <w:rFonts w:hint="eastAsia" w:ascii="宋体" w:hAnsi="宋体"/>
          <w:szCs w:val="21"/>
        </w:rPr>
        <w:t>货物为原厂商未启封全新包装，具出厂合格证，序列号、包装箱号与出厂批号一致，并可追索查阅。所有随设备的附件必须齐全。</w:t>
      </w:r>
    </w:p>
    <w:p>
      <w:pPr>
        <w:tabs>
          <w:tab w:val="left" w:pos="-540"/>
        </w:tabs>
        <w:spacing w:line="360" w:lineRule="auto"/>
        <w:ind w:left="-10" w:leftChars="-5" w:firstLine="8" w:firstLineChars="4"/>
        <w:rPr>
          <w:rFonts w:ascii="宋体"/>
          <w:szCs w:val="21"/>
        </w:rPr>
      </w:pPr>
      <w:r>
        <w:rPr>
          <w:rFonts w:ascii="宋体" w:hAnsi="宋体"/>
          <w:szCs w:val="21"/>
        </w:rPr>
        <w:t>4.</w:t>
      </w:r>
      <w:r>
        <w:rPr>
          <w:rFonts w:hint="eastAsia" w:ascii="宋体" w:hAnsi="宋体"/>
          <w:szCs w:val="21"/>
        </w:rPr>
        <w:t>乙方应将关键主机设备的用户手册、保修手册、有关单证资料及配备件、随机工具等交付给甲方，使用操作及安全须知等重要资料应附有中文说明。</w:t>
      </w:r>
    </w:p>
    <w:p>
      <w:pPr>
        <w:tabs>
          <w:tab w:val="left" w:pos="-540"/>
        </w:tabs>
        <w:spacing w:line="360" w:lineRule="auto"/>
        <w:ind w:left="-10" w:leftChars="-5" w:firstLine="8" w:firstLineChars="4"/>
        <w:rPr>
          <w:rFonts w:ascii="宋体"/>
          <w:szCs w:val="21"/>
        </w:rPr>
      </w:pPr>
      <w:r>
        <w:rPr>
          <w:rFonts w:ascii="宋体" w:hAnsi="宋体"/>
          <w:szCs w:val="21"/>
        </w:rPr>
        <w:t>5.</w:t>
      </w:r>
      <w:r>
        <w:rPr>
          <w:rFonts w:hint="eastAsia" w:ascii="宋体" w:hAnsi="宋体"/>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tabs>
          <w:tab w:val="left" w:pos="851"/>
        </w:tabs>
        <w:spacing w:line="360" w:lineRule="auto"/>
        <w:rPr>
          <w:rFonts w:ascii="宋体"/>
          <w:b/>
          <w:szCs w:val="21"/>
        </w:rPr>
      </w:pPr>
      <w:bookmarkStart w:id="163" w:name="_Toc22224_WPSOffice_Level1"/>
      <w:bookmarkStart w:id="164" w:name="_Toc16348_WPSOffice_Level2"/>
      <w:r>
        <w:rPr>
          <w:rFonts w:hint="eastAsia" w:ascii="宋体" w:hAnsi="宋体"/>
          <w:b/>
          <w:szCs w:val="21"/>
        </w:rPr>
        <w:t>八、违约责任与赔偿损失</w:t>
      </w:r>
      <w:bookmarkEnd w:id="163"/>
      <w:bookmarkEnd w:id="164"/>
    </w:p>
    <w:p>
      <w:pPr>
        <w:tabs>
          <w:tab w:val="left" w:pos="-540"/>
        </w:tabs>
        <w:spacing w:line="360" w:lineRule="auto"/>
        <w:ind w:left="-10" w:leftChars="-5" w:firstLine="8" w:firstLineChars="4"/>
        <w:rPr>
          <w:rFonts w:ascii="宋体"/>
          <w:szCs w:val="21"/>
        </w:rPr>
      </w:pPr>
      <w:r>
        <w:rPr>
          <w:rFonts w:ascii="宋体" w:hAnsi="宋体"/>
          <w:szCs w:val="21"/>
        </w:rPr>
        <w:t>1.</w:t>
      </w:r>
      <w:r>
        <w:rPr>
          <w:rFonts w:ascii="宋体" w:hAnsi="宋体"/>
          <w:szCs w:val="21"/>
        </w:rPr>
        <w:tab/>
      </w:r>
      <w:r>
        <w:rPr>
          <w:rFonts w:hint="eastAsia" w:ascii="宋体" w:hAnsi="宋体"/>
          <w:szCs w:val="21"/>
        </w:rPr>
        <w:t>乙方交付的货物、工程</w:t>
      </w:r>
      <w:r>
        <w:rPr>
          <w:rFonts w:ascii="宋体" w:hAnsi="宋体"/>
          <w:szCs w:val="21"/>
        </w:rPr>
        <w:t>/</w:t>
      </w:r>
      <w:r>
        <w:rPr>
          <w:rFonts w:hint="eastAsia" w:ascii="宋体" w:hAnsi="宋体"/>
          <w:szCs w:val="21"/>
        </w:rPr>
        <w:t>提供的服务不符合本合同规定的，甲方有权拒收，并且乙方须向甲方支付本合同总价</w:t>
      </w:r>
      <w:r>
        <w:rPr>
          <w:rFonts w:ascii="宋体" w:hAnsi="宋体"/>
          <w:szCs w:val="21"/>
        </w:rPr>
        <w:t>5%</w:t>
      </w:r>
      <w:r>
        <w:rPr>
          <w:rFonts w:hint="eastAsia" w:ascii="宋体" w:hAnsi="宋体"/>
          <w:szCs w:val="21"/>
        </w:rPr>
        <w:t>的违约金。</w:t>
      </w:r>
    </w:p>
    <w:p>
      <w:pPr>
        <w:tabs>
          <w:tab w:val="left" w:pos="-540"/>
        </w:tabs>
        <w:spacing w:line="360" w:lineRule="auto"/>
        <w:ind w:left="-10" w:leftChars="-5" w:firstLine="8" w:firstLineChars="4"/>
        <w:rPr>
          <w:rFonts w:ascii="宋体"/>
          <w:szCs w:val="21"/>
        </w:rPr>
      </w:pPr>
      <w:r>
        <w:rPr>
          <w:rFonts w:ascii="宋体" w:hAnsi="宋体"/>
          <w:szCs w:val="21"/>
        </w:rPr>
        <w:t>2.</w:t>
      </w:r>
      <w:r>
        <w:rPr>
          <w:rFonts w:hint="eastAsia" w:ascii="宋体" w:hAnsi="宋体"/>
          <w:szCs w:val="21"/>
        </w:rPr>
        <w:t>乙方未能按本合同规定的交货时间交付货物的</w:t>
      </w:r>
      <w:r>
        <w:rPr>
          <w:rFonts w:ascii="宋体" w:hAnsi="宋体"/>
          <w:szCs w:val="21"/>
        </w:rPr>
        <w:t>/</w:t>
      </w:r>
      <w:r>
        <w:rPr>
          <w:rFonts w:hint="eastAsia" w:ascii="宋体" w:hAnsi="宋体"/>
          <w:szCs w:val="21"/>
        </w:rPr>
        <w:t>提供服务，从逾期之日起每日按本合同总价</w:t>
      </w:r>
      <w:r>
        <w:rPr>
          <w:rFonts w:ascii="宋体" w:hAnsi="宋体"/>
          <w:szCs w:val="21"/>
        </w:rPr>
        <w:t>3</w:t>
      </w:r>
      <w:r>
        <w:rPr>
          <w:rFonts w:hint="eastAsia" w:ascii="宋体" w:hAnsi="宋体"/>
          <w:szCs w:val="21"/>
        </w:rPr>
        <w:t>‰的数额向甲方支付违约金；逾期半个月以上的，甲方有权终止合同，由此造成的甲方经济损失由乙方承担。</w:t>
      </w:r>
    </w:p>
    <w:p>
      <w:pPr>
        <w:tabs>
          <w:tab w:val="left" w:pos="-540"/>
        </w:tabs>
        <w:spacing w:line="360" w:lineRule="auto"/>
        <w:ind w:left="-10" w:leftChars="-5" w:firstLine="8" w:firstLineChars="4"/>
        <w:rPr>
          <w:rFonts w:ascii="宋体"/>
          <w:szCs w:val="21"/>
        </w:rPr>
      </w:pPr>
      <w:r>
        <w:rPr>
          <w:rFonts w:ascii="宋体" w:hAnsi="宋体"/>
          <w:szCs w:val="21"/>
        </w:rPr>
        <w:t>3.</w:t>
      </w:r>
      <w:r>
        <w:rPr>
          <w:rFonts w:hint="eastAsia" w:ascii="宋体" w:hAnsi="宋体"/>
          <w:szCs w:val="21"/>
        </w:rPr>
        <w:t>甲方无正当理由拒收货物</w:t>
      </w:r>
      <w:r>
        <w:rPr>
          <w:rFonts w:ascii="宋体" w:hAnsi="宋体"/>
          <w:szCs w:val="21"/>
        </w:rPr>
        <w:t>/</w:t>
      </w:r>
      <w:r>
        <w:rPr>
          <w:rFonts w:hint="eastAsia" w:ascii="宋体" w:hAnsi="宋体"/>
          <w:szCs w:val="21"/>
        </w:rPr>
        <w:t>接受服务，到期拒付货物</w:t>
      </w:r>
      <w:r>
        <w:rPr>
          <w:rFonts w:ascii="宋体" w:hAnsi="宋体"/>
          <w:szCs w:val="21"/>
        </w:rPr>
        <w:t>/</w:t>
      </w:r>
      <w:r>
        <w:rPr>
          <w:rFonts w:hint="eastAsia" w:ascii="宋体" w:hAnsi="宋体"/>
          <w:szCs w:val="21"/>
        </w:rPr>
        <w:t>服务款项的，甲方向乙方偿付本合同总的</w:t>
      </w:r>
      <w:r>
        <w:rPr>
          <w:rFonts w:ascii="宋体" w:hAnsi="宋体"/>
          <w:szCs w:val="21"/>
        </w:rPr>
        <w:t>5%</w:t>
      </w:r>
      <w:r>
        <w:rPr>
          <w:rFonts w:hint="eastAsia" w:ascii="宋体" w:hAnsi="宋体"/>
          <w:szCs w:val="21"/>
        </w:rPr>
        <w:t>的违约金。甲方逾期付款，则每日按本合同总价的</w:t>
      </w:r>
      <w:r>
        <w:rPr>
          <w:rFonts w:ascii="宋体" w:hAnsi="宋体"/>
          <w:szCs w:val="21"/>
        </w:rPr>
        <w:t>3</w:t>
      </w:r>
      <w:r>
        <w:rPr>
          <w:rFonts w:hint="eastAsia" w:ascii="宋体" w:hAnsi="宋体"/>
          <w:szCs w:val="21"/>
        </w:rPr>
        <w:t>‰向乙方偿付违约金。</w:t>
      </w:r>
    </w:p>
    <w:p>
      <w:pPr>
        <w:tabs>
          <w:tab w:val="left" w:pos="-540"/>
        </w:tabs>
        <w:spacing w:line="360" w:lineRule="auto"/>
        <w:ind w:left="-10" w:leftChars="-5" w:firstLine="8" w:firstLineChars="4"/>
        <w:rPr>
          <w:rFonts w:ascii="宋体"/>
          <w:szCs w:val="21"/>
        </w:rPr>
      </w:pPr>
      <w:r>
        <w:rPr>
          <w:rFonts w:ascii="宋体" w:hAnsi="宋体"/>
          <w:szCs w:val="21"/>
        </w:rPr>
        <w:t>4.</w:t>
      </w:r>
      <w:r>
        <w:rPr>
          <w:rFonts w:hint="eastAsia" w:ascii="宋体" w:hAnsi="宋体"/>
          <w:szCs w:val="21"/>
        </w:rPr>
        <w:t>其它违约责任按《中华人民共和国合同法》处理。</w:t>
      </w:r>
    </w:p>
    <w:p>
      <w:pPr>
        <w:tabs>
          <w:tab w:val="left" w:pos="851"/>
        </w:tabs>
        <w:spacing w:line="360" w:lineRule="auto"/>
        <w:rPr>
          <w:rFonts w:ascii="宋体"/>
          <w:b/>
          <w:szCs w:val="21"/>
        </w:rPr>
      </w:pPr>
      <w:bookmarkStart w:id="165" w:name="_Toc13234_WPSOffice_Level1"/>
      <w:bookmarkStart w:id="166" w:name="_Toc16316_WPSOffice_Level2"/>
      <w:r>
        <w:rPr>
          <w:rFonts w:hint="eastAsia" w:ascii="宋体" w:hAnsi="宋体"/>
          <w:b/>
          <w:szCs w:val="21"/>
        </w:rPr>
        <w:t>九、争议的解决</w:t>
      </w:r>
      <w:bookmarkEnd w:id="165"/>
      <w:bookmarkEnd w:id="166"/>
    </w:p>
    <w:p>
      <w:pPr>
        <w:tabs>
          <w:tab w:val="left" w:pos="851"/>
        </w:tabs>
        <w:spacing w:line="360" w:lineRule="auto"/>
        <w:rPr>
          <w:rFonts w:ascii="宋体"/>
          <w:szCs w:val="21"/>
        </w:rPr>
      </w:pPr>
      <w:r>
        <w:rPr>
          <w:rFonts w:hint="eastAsia" w:ascii="宋体" w:hAnsi="宋体"/>
          <w:szCs w:val="21"/>
        </w:rPr>
        <w:t xml:space="preserve">    合同执行过程中发生的任何争议，如双方不能通过友好协商解决，按相关法律法规处理。</w:t>
      </w:r>
    </w:p>
    <w:p>
      <w:pPr>
        <w:tabs>
          <w:tab w:val="left" w:pos="851"/>
        </w:tabs>
        <w:spacing w:line="360" w:lineRule="auto"/>
        <w:rPr>
          <w:rFonts w:ascii="宋体"/>
          <w:b/>
          <w:szCs w:val="21"/>
        </w:rPr>
      </w:pPr>
      <w:bookmarkStart w:id="167" w:name="_Toc32013_WPSOffice_Level2"/>
      <w:bookmarkStart w:id="168" w:name="_Toc21358_WPSOffice_Level1"/>
      <w:r>
        <w:rPr>
          <w:rFonts w:hint="eastAsia" w:ascii="宋体" w:hAnsi="宋体"/>
          <w:b/>
          <w:szCs w:val="21"/>
        </w:rPr>
        <w:t>十、不可抗力</w:t>
      </w:r>
      <w:bookmarkEnd w:id="167"/>
      <w:bookmarkEnd w:id="168"/>
    </w:p>
    <w:p>
      <w:pPr>
        <w:tabs>
          <w:tab w:val="left" w:pos="851"/>
        </w:tabs>
        <w:spacing w:line="360" w:lineRule="auto"/>
        <w:rPr>
          <w:rFonts w:ascii="宋体"/>
          <w:szCs w:val="21"/>
        </w:rPr>
      </w:pPr>
      <w:r>
        <w:rPr>
          <w:rFonts w:ascii="宋体" w:hAnsi="宋体"/>
          <w:szCs w:val="21"/>
        </w:rPr>
        <w:t>1.</w:t>
      </w:r>
      <w:r>
        <w:rPr>
          <w:rFonts w:hint="eastAsia" w:ascii="宋体" w:hAnsi="宋体"/>
          <w:szCs w:val="21"/>
        </w:rPr>
        <w:t>任何一方由于不可抗力原因不能履行合同时，应在不可抗力事件结束后</w:t>
      </w:r>
      <w:r>
        <w:rPr>
          <w:rFonts w:ascii="宋体" w:hAnsi="宋体"/>
          <w:szCs w:val="21"/>
        </w:rPr>
        <w:t>1</w:t>
      </w:r>
      <w:r>
        <w:rPr>
          <w:rFonts w:hint="eastAsia" w:ascii="宋体" w:hAnsi="宋体"/>
          <w:szCs w:val="21"/>
        </w:rPr>
        <w:t>日内向对方通报，以减轻可能给对方造成的损失，在取得有关机构的不可抗力证明或双方谅解确认后，允许延期履行或修订合同，并根据情况可部分或全部免于承担违约责任。</w:t>
      </w:r>
    </w:p>
    <w:p>
      <w:pPr>
        <w:tabs>
          <w:tab w:val="left" w:pos="851"/>
        </w:tabs>
        <w:spacing w:line="360" w:lineRule="auto"/>
        <w:rPr>
          <w:rFonts w:ascii="宋体"/>
          <w:szCs w:val="21"/>
        </w:rPr>
      </w:pPr>
      <w:bookmarkStart w:id="169" w:name="_Toc19385_WPSOffice_Level2"/>
      <w:bookmarkStart w:id="170" w:name="_Toc23491_WPSOffice_Level1"/>
      <w:r>
        <w:rPr>
          <w:rFonts w:hint="eastAsia" w:ascii="宋体" w:hAnsi="宋体"/>
          <w:b/>
          <w:szCs w:val="21"/>
        </w:rPr>
        <w:t>十一、税费</w:t>
      </w:r>
      <w:bookmarkEnd w:id="169"/>
      <w:bookmarkEnd w:id="170"/>
    </w:p>
    <w:p>
      <w:pPr>
        <w:tabs>
          <w:tab w:val="left" w:pos="851"/>
        </w:tabs>
        <w:spacing w:line="360" w:lineRule="auto"/>
        <w:ind w:left="851" w:hanging="851"/>
        <w:rPr>
          <w:rFonts w:ascii="宋体"/>
          <w:szCs w:val="21"/>
        </w:rPr>
      </w:pPr>
      <w:r>
        <w:rPr>
          <w:rFonts w:hint="eastAsia" w:ascii="宋体" w:hAnsi="宋体"/>
          <w:szCs w:val="21"/>
        </w:rPr>
        <w:t xml:space="preserve">    在中国境内、外发生的与本合同执行有关的一切税费均由乙方负担。</w:t>
      </w:r>
    </w:p>
    <w:p>
      <w:pPr>
        <w:tabs>
          <w:tab w:val="left" w:pos="851"/>
        </w:tabs>
        <w:spacing w:line="360" w:lineRule="auto"/>
        <w:rPr>
          <w:rFonts w:ascii="宋体"/>
          <w:b/>
          <w:szCs w:val="21"/>
        </w:rPr>
      </w:pPr>
      <w:bookmarkStart w:id="171" w:name="_Toc11294_WPSOffice_Level1"/>
      <w:bookmarkStart w:id="172" w:name="_Toc21387_WPSOffice_Level2"/>
      <w:r>
        <w:rPr>
          <w:rFonts w:hint="eastAsia" w:ascii="宋体" w:hAnsi="宋体"/>
          <w:b/>
          <w:szCs w:val="21"/>
        </w:rPr>
        <w:t>十二、其</w:t>
      </w:r>
      <w:bookmarkEnd w:id="171"/>
      <w:bookmarkEnd w:id="172"/>
      <w:r>
        <w:rPr>
          <w:rFonts w:hint="eastAsia" w:ascii="宋体" w:hAnsi="宋体"/>
          <w:b/>
          <w:szCs w:val="21"/>
        </w:rPr>
        <w:t>他</w:t>
      </w:r>
    </w:p>
    <w:p>
      <w:pPr>
        <w:tabs>
          <w:tab w:val="left" w:pos="-540"/>
        </w:tabs>
        <w:spacing w:line="360" w:lineRule="auto"/>
        <w:ind w:left="-10" w:leftChars="-5" w:firstLine="8" w:firstLineChars="4"/>
        <w:rPr>
          <w:rFonts w:ascii="宋体"/>
          <w:szCs w:val="21"/>
        </w:rPr>
      </w:pPr>
      <w:r>
        <w:rPr>
          <w:rFonts w:ascii="宋体" w:hAnsi="宋体"/>
          <w:szCs w:val="21"/>
        </w:rPr>
        <w:t>1.</w:t>
      </w:r>
      <w:r>
        <w:rPr>
          <w:rFonts w:hint="eastAsia" w:ascii="宋体" w:hAnsi="宋体"/>
          <w:szCs w:val="21"/>
        </w:rPr>
        <w:t>本合同所有附件、谈判文件、谈判文件、成交通知书均为合同的有效组成部分，与本合同具有同等法律效力。</w:t>
      </w:r>
    </w:p>
    <w:p>
      <w:pPr>
        <w:tabs>
          <w:tab w:val="left" w:pos="-540"/>
        </w:tabs>
        <w:spacing w:line="360" w:lineRule="auto"/>
        <w:ind w:left="-10" w:leftChars="-5" w:firstLine="8" w:firstLineChars="4"/>
        <w:rPr>
          <w:rFonts w:ascii="宋体"/>
          <w:szCs w:val="21"/>
        </w:rPr>
      </w:pPr>
      <w:r>
        <w:rPr>
          <w:rFonts w:ascii="宋体" w:hAnsi="宋体"/>
          <w:szCs w:val="21"/>
        </w:rPr>
        <w:t>2.</w:t>
      </w:r>
      <w:r>
        <w:rPr>
          <w:rFonts w:hint="eastAsia" w:ascii="宋体" w:hAnsi="宋体"/>
          <w:szCs w:val="21"/>
        </w:rPr>
        <w:t>在执行本合同的过程中，所有经双方签署确认的文件（包括会议纪要、补充协议、往来信函）即成为本合同的有效组成部分。</w:t>
      </w:r>
    </w:p>
    <w:p>
      <w:pPr>
        <w:tabs>
          <w:tab w:val="left" w:pos="-540"/>
        </w:tabs>
        <w:spacing w:line="360" w:lineRule="auto"/>
        <w:ind w:left="-10" w:leftChars="-5" w:firstLine="8" w:firstLineChars="4"/>
        <w:rPr>
          <w:rFonts w:ascii="宋体"/>
          <w:szCs w:val="21"/>
        </w:rPr>
      </w:pPr>
      <w:r>
        <w:rPr>
          <w:rFonts w:ascii="宋体" w:hAnsi="宋体"/>
          <w:szCs w:val="21"/>
        </w:rPr>
        <w:t>3.</w:t>
      </w:r>
      <w:r>
        <w:rPr>
          <w:rFonts w:hint="eastAsia" w:ascii="宋体" w:hAnsi="宋体"/>
          <w:szCs w:val="21"/>
        </w:rPr>
        <w:t>如一方地址、电话、传真号码有变更，应在变更当日内书面通知对方，否则，应承担相应责任。</w:t>
      </w:r>
    </w:p>
    <w:p>
      <w:pPr>
        <w:tabs>
          <w:tab w:val="left" w:pos="-540"/>
        </w:tabs>
        <w:spacing w:line="360" w:lineRule="auto"/>
        <w:ind w:left="-10" w:leftChars="-5" w:firstLine="8" w:firstLineChars="4"/>
        <w:rPr>
          <w:rFonts w:ascii="宋体"/>
          <w:szCs w:val="21"/>
        </w:rPr>
      </w:pPr>
      <w:r>
        <w:rPr>
          <w:rFonts w:ascii="宋体" w:hAnsi="宋体"/>
          <w:szCs w:val="21"/>
        </w:rPr>
        <w:t>4.</w:t>
      </w:r>
      <w:r>
        <w:rPr>
          <w:rFonts w:hint="eastAsia" w:ascii="宋体" w:hAnsi="宋体"/>
          <w:szCs w:val="21"/>
        </w:rPr>
        <w:t>除甲方事先书面同意外，乙方不得部分或全部转让其应履行的合同项下的义务。</w:t>
      </w:r>
    </w:p>
    <w:p>
      <w:pPr>
        <w:tabs>
          <w:tab w:val="left" w:pos="851"/>
        </w:tabs>
        <w:spacing w:line="360" w:lineRule="auto"/>
        <w:rPr>
          <w:rFonts w:ascii="宋体"/>
          <w:b/>
          <w:szCs w:val="21"/>
        </w:rPr>
      </w:pPr>
      <w:bookmarkStart w:id="173" w:name="_Toc24366_WPSOffice_Level1"/>
      <w:bookmarkStart w:id="174" w:name="_Toc2435_WPSOffice_Level2"/>
      <w:r>
        <w:rPr>
          <w:rFonts w:hint="eastAsia" w:ascii="宋体" w:hAnsi="宋体"/>
          <w:b/>
          <w:szCs w:val="21"/>
        </w:rPr>
        <w:t>十三、合同生效</w:t>
      </w:r>
      <w:bookmarkEnd w:id="173"/>
      <w:bookmarkEnd w:id="174"/>
    </w:p>
    <w:p>
      <w:pPr>
        <w:tabs>
          <w:tab w:val="left" w:pos="851"/>
        </w:tabs>
        <w:spacing w:line="360" w:lineRule="auto"/>
        <w:ind w:left="851" w:hanging="851"/>
        <w:rPr>
          <w:rFonts w:ascii="宋体"/>
          <w:szCs w:val="21"/>
        </w:rPr>
      </w:pPr>
      <w:bookmarkStart w:id="175" w:name="_Toc22115_WPSOffice_Level3"/>
      <w:bookmarkStart w:id="176" w:name="_Toc16751_WPSOffice_Level2"/>
      <w:r>
        <w:rPr>
          <w:rFonts w:ascii="宋体" w:hAnsi="宋体"/>
          <w:szCs w:val="21"/>
        </w:rPr>
        <w:t>1.</w:t>
      </w:r>
      <w:r>
        <w:rPr>
          <w:rFonts w:hint="eastAsia" w:ascii="宋体" w:hAnsi="宋体"/>
          <w:szCs w:val="21"/>
        </w:rPr>
        <w:t>本合同在甲乙双方法人代表或其授权代表签字盖章后生效。</w:t>
      </w:r>
      <w:bookmarkEnd w:id="175"/>
      <w:bookmarkEnd w:id="176"/>
    </w:p>
    <w:p>
      <w:pPr>
        <w:tabs>
          <w:tab w:val="left" w:pos="851"/>
        </w:tabs>
        <w:spacing w:line="360" w:lineRule="auto"/>
        <w:ind w:left="851" w:hanging="851"/>
        <w:rPr>
          <w:rFonts w:ascii="宋体"/>
          <w:szCs w:val="21"/>
        </w:rPr>
      </w:pPr>
      <w:bookmarkStart w:id="177" w:name="_Toc3720_WPSOffice_Level2"/>
      <w:bookmarkStart w:id="178" w:name="_Toc8111_WPSOffice_Level3"/>
      <w:r>
        <w:rPr>
          <w:rFonts w:ascii="宋体" w:hAnsi="宋体"/>
          <w:szCs w:val="21"/>
        </w:rPr>
        <w:t>2.</w:t>
      </w:r>
      <w:r>
        <w:rPr>
          <w:rFonts w:hint="eastAsia" w:ascii="宋体" w:hAnsi="宋体"/>
          <w:szCs w:val="21"/>
        </w:rPr>
        <w:t>合同一式    份。</w:t>
      </w:r>
      <w:bookmarkEnd w:id="177"/>
      <w:bookmarkEnd w:id="178"/>
    </w:p>
    <w:p>
      <w:r>
        <w:rPr>
          <w:rFonts w:hint="eastAsia" w:ascii="宋体" w:hAnsi="宋体"/>
          <w:szCs w:val="21"/>
        </w:rPr>
        <w:t>合同订立时间：   年  月   日</w:t>
      </w:r>
    </w:p>
    <w:p>
      <w:pPr>
        <w:adjustRightInd w:val="0"/>
        <w:snapToGrid w:val="0"/>
        <w:spacing w:before="120" w:beforeLines="50" w:line="360" w:lineRule="auto"/>
        <w:rPr>
          <w:rFonts w:ascii="宋体"/>
          <w:szCs w:val="21"/>
        </w:rPr>
      </w:pPr>
      <w:r>
        <w:rPr>
          <w:rFonts w:hint="eastAsia" w:ascii="宋体" w:hAnsi="宋体"/>
          <w:szCs w:val="21"/>
        </w:rPr>
        <w:t>合同订立地点：</w:t>
      </w:r>
    </w:p>
    <w:p>
      <w:pPr>
        <w:adjustRightInd w:val="0"/>
        <w:snapToGrid w:val="0"/>
        <w:spacing w:before="120" w:beforeLines="50" w:line="360" w:lineRule="auto"/>
        <w:rPr>
          <w:rFonts w:ascii="宋体"/>
          <w:szCs w:val="21"/>
        </w:rPr>
      </w:pPr>
    </w:p>
    <w:p>
      <w:pPr>
        <w:pStyle w:val="13"/>
        <w:spacing w:line="360" w:lineRule="auto"/>
        <w:ind w:firstLine="480" w:firstLineChars="200"/>
      </w:pPr>
    </w:p>
    <w:tbl>
      <w:tblPr>
        <w:tblStyle w:val="37"/>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4"/>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9" w:hRule="atLeast"/>
        </w:trPr>
        <w:tc>
          <w:tcPr>
            <w:tcW w:w="4874" w:type="dxa"/>
            <w:noWrap/>
          </w:tcPr>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甲方（盖章）：</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法定代表人：</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委托代理人：</w:t>
            </w:r>
          </w:p>
          <w:p>
            <w:pPr>
              <w:adjustRightInd w:val="0"/>
              <w:snapToGrid w:val="0"/>
              <w:spacing w:before="120" w:beforeLines="50" w:line="360" w:lineRule="auto"/>
              <w:ind w:firstLine="420" w:firstLineChars="200"/>
              <w:rPr>
                <w:rFonts w:ascii="宋体" w:hAnsi="宋体"/>
                <w:szCs w:val="21"/>
                <w:u w:val="single"/>
              </w:rPr>
            </w:pPr>
            <w:r>
              <w:rPr>
                <w:rFonts w:hint="eastAsia" w:ascii="宋体" w:hAnsi="宋体"/>
                <w:szCs w:val="21"/>
              </w:rPr>
              <w:t>联系电话：</w:t>
            </w:r>
          </w:p>
          <w:p>
            <w:pPr>
              <w:adjustRightInd w:val="0"/>
              <w:snapToGrid w:val="0"/>
              <w:spacing w:before="120" w:beforeLines="50" w:line="360" w:lineRule="auto"/>
              <w:ind w:firstLine="420" w:firstLineChars="200"/>
              <w:rPr>
                <w:rFonts w:ascii="宋体" w:hAnsi="宋体"/>
                <w:szCs w:val="21"/>
                <w:u w:val="single"/>
              </w:rPr>
            </w:pPr>
            <w:r>
              <w:rPr>
                <w:rFonts w:hint="eastAsia" w:ascii="宋体" w:hAnsi="宋体"/>
                <w:szCs w:val="21"/>
              </w:rPr>
              <w:t>单位地址：</w:t>
            </w:r>
          </w:p>
          <w:p>
            <w:pPr>
              <w:adjustRightInd w:val="0"/>
              <w:snapToGrid w:val="0"/>
              <w:spacing w:before="120" w:beforeLines="50" w:line="360" w:lineRule="auto"/>
              <w:ind w:firstLine="420" w:firstLineChars="200"/>
              <w:rPr>
                <w:rFonts w:ascii="宋体" w:hAnsi="宋体"/>
                <w:szCs w:val="21"/>
              </w:rPr>
            </w:pPr>
          </w:p>
        </w:tc>
        <w:tc>
          <w:tcPr>
            <w:tcW w:w="4078" w:type="dxa"/>
            <w:noWrap/>
          </w:tcPr>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乙方（盖章）：</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法定代表人：</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委托代理人：</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联系电话：</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单位地址：</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开户银行：</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账    号：</w:t>
            </w:r>
          </w:p>
        </w:tc>
      </w:tr>
    </w:tbl>
    <w:p>
      <w:pPr>
        <w:pStyle w:val="13"/>
      </w:pPr>
    </w:p>
    <w:p>
      <w:pPr>
        <w:pStyle w:val="17"/>
        <w:tabs>
          <w:tab w:val="left" w:pos="1620"/>
        </w:tabs>
        <w:adjustRightInd w:val="0"/>
        <w:snapToGrid w:val="0"/>
        <w:spacing w:line="360" w:lineRule="auto"/>
        <w:ind w:left="-88" w:leftChars="-42"/>
        <w:jc w:val="center"/>
        <w:rPr>
          <w:rFonts w:ascii="黑体" w:hAnsi="华文中宋" w:eastAsia="黑体"/>
          <w:bCs/>
          <w:sz w:val="32"/>
          <w:szCs w:val="32"/>
        </w:rPr>
      </w:pPr>
    </w:p>
    <w:p>
      <w:pPr>
        <w:pStyle w:val="17"/>
        <w:tabs>
          <w:tab w:val="left" w:pos="1620"/>
        </w:tabs>
        <w:adjustRightInd w:val="0"/>
        <w:snapToGrid w:val="0"/>
        <w:spacing w:line="360" w:lineRule="auto"/>
        <w:ind w:left="-88" w:leftChars="-42"/>
        <w:jc w:val="center"/>
        <w:rPr>
          <w:rFonts w:ascii="黑体" w:hAnsi="华文中宋" w:eastAsia="黑体"/>
          <w:bCs/>
          <w:sz w:val="32"/>
          <w:szCs w:val="32"/>
        </w:rPr>
      </w:pPr>
    </w:p>
    <w:p>
      <w:pPr>
        <w:pStyle w:val="3"/>
        <w:ind w:left="0" w:firstLine="0"/>
        <w:jc w:val="center"/>
        <w:rPr>
          <w:rFonts w:ascii="黑体"/>
          <w:sz w:val="32"/>
          <w:szCs w:val="32"/>
        </w:rPr>
      </w:pPr>
      <w:bookmarkStart w:id="179" w:name="_Toc27123_WPSOffice_Level2"/>
      <w:bookmarkStart w:id="180" w:name="_Toc60996686"/>
      <w:bookmarkStart w:id="181" w:name="_Toc22115_WPSOffice_Level1"/>
      <w:bookmarkStart w:id="182" w:name="_第四章__投标文件格式"/>
    </w:p>
    <w:p>
      <w:pPr>
        <w:pStyle w:val="3"/>
        <w:ind w:left="0" w:firstLine="0"/>
        <w:jc w:val="center"/>
        <w:rPr>
          <w:rFonts w:ascii="黑体"/>
          <w:sz w:val="32"/>
          <w:szCs w:val="32"/>
        </w:rPr>
      </w:pPr>
    </w:p>
    <w:p>
      <w:pPr>
        <w:pStyle w:val="3"/>
        <w:ind w:left="0" w:firstLine="0"/>
        <w:jc w:val="center"/>
        <w:rPr>
          <w:rFonts w:ascii="黑体"/>
          <w:sz w:val="32"/>
          <w:szCs w:val="32"/>
        </w:rPr>
      </w:pPr>
      <w:bookmarkStart w:id="183" w:name="_Toc84455577"/>
      <w:r>
        <w:rPr>
          <w:rFonts w:hint="eastAsia" w:ascii="黑体"/>
          <w:sz w:val="32"/>
          <w:szCs w:val="32"/>
        </w:rPr>
        <w:t>第四章  响应文件格式</w:t>
      </w:r>
      <w:bookmarkEnd w:id="179"/>
      <w:bookmarkEnd w:id="180"/>
      <w:bookmarkEnd w:id="181"/>
      <w:bookmarkEnd w:id="183"/>
    </w:p>
    <w:bookmarkEnd w:id="182"/>
    <w:p>
      <w:pPr>
        <w:pStyle w:val="3"/>
        <w:ind w:left="0" w:firstLine="0"/>
        <w:jc w:val="center"/>
        <w:rPr>
          <w:rFonts w:ascii="黑体"/>
          <w:sz w:val="32"/>
          <w:szCs w:val="32"/>
        </w:rPr>
      </w:pPr>
      <w:bookmarkStart w:id="184" w:name="_Toc17533_WPSOffice_Level2"/>
      <w:bookmarkStart w:id="185" w:name="_Toc30986_WPSOffice_Level3"/>
      <w:r>
        <w:rPr>
          <w:rFonts w:hint="eastAsia" w:ascii="黑体"/>
          <w:sz w:val="32"/>
          <w:szCs w:val="32"/>
        </w:rPr>
        <w:t xml:space="preserve">     </w:t>
      </w:r>
      <w:bookmarkStart w:id="186" w:name="_Toc84455578"/>
      <w:r>
        <w:rPr>
          <w:rFonts w:hint="eastAsia" w:ascii="黑体"/>
          <w:sz w:val="32"/>
          <w:szCs w:val="32"/>
        </w:rPr>
        <w:t>（项目名称）</w:t>
      </w:r>
      <w:bookmarkEnd w:id="184"/>
      <w:bookmarkEnd w:id="185"/>
      <w:bookmarkEnd w:id="186"/>
    </w:p>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p>
    <w:p>
      <w:pPr>
        <w:pStyle w:val="17"/>
        <w:spacing w:line="360" w:lineRule="auto"/>
        <w:jc w:val="center"/>
        <w:rPr>
          <w:b/>
          <w:sz w:val="84"/>
          <w:szCs w:val="84"/>
        </w:rPr>
      </w:pPr>
      <w:r>
        <w:rPr>
          <w:rFonts w:hint="eastAsia"/>
          <w:b/>
          <w:sz w:val="84"/>
          <w:szCs w:val="84"/>
        </w:rPr>
        <w:t>响应文件</w:t>
      </w:r>
    </w:p>
    <w:p>
      <w:pPr>
        <w:spacing w:line="360" w:lineRule="auto"/>
        <w:jc w:val="center"/>
        <w:rPr>
          <w:rFonts w:ascii="宋体"/>
          <w:sz w:val="24"/>
        </w:rPr>
      </w:pPr>
    </w:p>
    <w:p>
      <w:pPr>
        <w:spacing w:line="360" w:lineRule="auto"/>
        <w:jc w:val="center"/>
        <w:rPr>
          <w:rFonts w:ascii="宋体"/>
          <w:sz w:val="24"/>
        </w:rPr>
      </w:pPr>
    </w:p>
    <w:p>
      <w:pPr>
        <w:pStyle w:val="17"/>
        <w:spacing w:line="360" w:lineRule="auto"/>
        <w:ind w:firstLine="3058" w:firstLineChars="1088"/>
        <w:rPr>
          <w:b/>
          <w:sz w:val="28"/>
          <w:szCs w:val="28"/>
          <w:u w:val="single"/>
        </w:rPr>
      </w:pPr>
      <w:bookmarkStart w:id="187" w:name="_Toc25325_WPSOffice_Level3"/>
      <w:r>
        <w:rPr>
          <w:rFonts w:hint="eastAsia"/>
          <w:b/>
          <w:sz w:val="28"/>
          <w:szCs w:val="28"/>
        </w:rPr>
        <w:t>项目编号：</w:t>
      </w:r>
      <w:bookmarkEnd w:id="187"/>
    </w:p>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p>
    <w:p>
      <w:pPr>
        <w:spacing w:line="360" w:lineRule="auto"/>
        <w:ind w:firstLine="1980" w:firstLineChars="825"/>
        <w:rPr>
          <w:sz w:val="24"/>
        </w:rPr>
      </w:pPr>
      <w:r>
        <w:rPr>
          <w:rFonts w:hint="eastAsia"/>
          <w:sz w:val="24"/>
        </w:rPr>
        <w:t>供应商：（盖单位公章）</w:t>
      </w:r>
    </w:p>
    <w:p>
      <w:pPr>
        <w:spacing w:line="360" w:lineRule="auto"/>
        <w:ind w:firstLine="1980" w:firstLineChars="825"/>
        <w:rPr>
          <w:sz w:val="24"/>
        </w:rPr>
      </w:pPr>
      <w:r>
        <w:rPr>
          <w:rFonts w:hint="eastAsia"/>
          <w:sz w:val="24"/>
        </w:rPr>
        <w:t>法定代表人：（签名或盖章）</w:t>
      </w:r>
    </w:p>
    <w:p>
      <w:pPr>
        <w:spacing w:line="360" w:lineRule="auto"/>
        <w:ind w:firstLine="1980" w:firstLineChars="825"/>
        <w:jc w:val="center"/>
        <w:rPr>
          <w:sz w:val="24"/>
        </w:rPr>
      </w:pPr>
    </w:p>
    <w:p>
      <w:pPr>
        <w:spacing w:line="360" w:lineRule="auto"/>
        <w:ind w:firstLine="2580" w:firstLineChars="1075"/>
        <w:rPr>
          <w:sz w:val="24"/>
        </w:rPr>
      </w:pPr>
      <w:r>
        <w:rPr>
          <w:rFonts w:hint="eastAsia"/>
          <w:sz w:val="24"/>
        </w:rPr>
        <w:t>年    月   日</w:t>
      </w:r>
      <w:r>
        <w:rPr>
          <w:rFonts w:ascii="宋体"/>
          <w:sz w:val="24"/>
        </w:rPr>
        <w:br w:type="page"/>
      </w:r>
      <w:bookmarkStart w:id="188" w:name="_Toc396"/>
    </w:p>
    <w:p>
      <w:pPr>
        <w:pStyle w:val="4"/>
        <w:spacing w:before="0" w:line="240" w:lineRule="atLeast"/>
        <w:ind w:left="420" w:leftChars="200" w:firstLine="0"/>
        <w:rPr>
          <w:rFonts w:ascii="宋体" w:hAnsi="宋体" w:eastAsia="宋体"/>
          <w:sz w:val="32"/>
          <w:szCs w:val="32"/>
        </w:rPr>
      </w:pPr>
      <w:bookmarkStart w:id="189" w:name="_Toc29695_WPSOffice_Level3"/>
      <w:bookmarkStart w:id="190" w:name="_Toc27994_WPSOffice_Level2"/>
      <w:bookmarkStart w:id="191" w:name="_Toc84455579"/>
      <w:bookmarkStart w:id="192" w:name="_商务文件"/>
      <w:bookmarkStart w:id="193" w:name="_Toc19067"/>
      <w:bookmarkStart w:id="194" w:name="_Toc60996688"/>
      <w:bookmarkStart w:id="195" w:name="_Toc60996687"/>
      <w:r>
        <w:rPr>
          <w:rFonts w:hint="eastAsia" w:ascii="宋体" w:hAnsi="宋体" w:eastAsia="宋体"/>
          <w:sz w:val="32"/>
          <w:szCs w:val="32"/>
        </w:rPr>
        <w:t>商务文件</w:t>
      </w:r>
      <w:bookmarkEnd w:id="189"/>
      <w:bookmarkEnd w:id="190"/>
      <w:bookmarkEnd w:id="191"/>
    </w:p>
    <w:bookmarkEnd w:id="192"/>
    <w:p>
      <w:pPr>
        <w:spacing w:line="640" w:lineRule="exact"/>
        <w:rPr>
          <w:rFonts w:ascii="宋体" w:hAnsi="宋体"/>
          <w:sz w:val="24"/>
        </w:rPr>
      </w:pPr>
      <w:bookmarkStart w:id="196" w:name="_Toc17522_WPSOffice_Level3"/>
      <w:bookmarkStart w:id="197" w:name="_Toc21520_WPSOffice_Level2"/>
      <w:r>
        <w:rPr>
          <w:rFonts w:hint="eastAsia" w:ascii="宋体" w:hAnsi="宋体"/>
          <w:sz w:val="24"/>
        </w:rPr>
        <w:t>一、谈判响应函</w:t>
      </w:r>
      <w:bookmarkEnd w:id="196"/>
      <w:bookmarkEnd w:id="197"/>
    </w:p>
    <w:p>
      <w:pPr>
        <w:spacing w:line="640" w:lineRule="exact"/>
        <w:rPr>
          <w:rFonts w:ascii="宋体" w:hAnsi="宋体"/>
          <w:sz w:val="24"/>
        </w:rPr>
      </w:pPr>
      <w:bookmarkStart w:id="198" w:name="_Toc32340_WPSOffice_Level3"/>
      <w:bookmarkStart w:id="199" w:name="_Toc28668_WPSOffice_Level2"/>
      <w:r>
        <w:rPr>
          <w:rFonts w:hint="eastAsia" w:ascii="宋体" w:hAnsi="宋体"/>
          <w:sz w:val="24"/>
        </w:rPr>
        <w:t>二、竞争性谈判报价一览表</w:t>
      </w:r>
      <w:bookmarkEnd w:id="198"/>
      <w:bookmarkEnd w:id="199"/>
    </w:p>
    <w:p>
      <w:pPr>
        <w:pStyle w:val="13"/>
        <w:spacing w:line="640" w:lineRule="exact"/>
      </w:pPr>
      <w:bookmarkStart w:id="200" w:name="_Toc16751_WPSOffice_Level3"/>
      <w:bookmarkStart w:id="201" w:name="_Toc4165_WPSOffice_Level2"/>
      <w:r>
        <w:rPr>
          <w:rFonts w:hint="eastAsia"/>
        </w:rPr>
        <w:t>三、分项报价表</w:t>
      </w:r>
      <w:bookmarkEnd w:id="200"/>
      <w:bookmarkEnd w:id="201"/>
    </w:p>
    <w:p>
      <w:pPr>
        <w:pStyle w:val="13"/>
        <w:spacing w:line="640" w:lineRule="exact"/>
      </w:pPr>
      <w:bookmarkStart w:id="202" w:name="_Toc26286_WPSOffice_Level2"/>
      <w:bookmarkStart w:id="203" w:name="_Toc3720_WPSOffice_Level3"/>
      <w:r>
        <w:rPr>
          <w:rFonts w:hint="eastAsia" w:ascii="宋体" w:hAnsi="宋体"/>
        </w:rPr>
        <w:t>四、商务条款响应/偏离表</w:t>
      </w:r>
      <w:bookmarkEnd w:id="202"/>
      <w:bookmarkEnd w:id="203"/>
    </w:p>
    <w:p>
      <w:pPr>
        <w:pStyle w:val="13"/>
        <w:spacing w:line="640" w:lineRule="exact"/>
        <w:rPr>
          <w:rFonts w:ascii="宋体" w:hAnsi="宋体"/>
        </w:rPr>
      </w:pPr>
      <w:bookmarkStart w:id="204" w:name="_Toc27123_WPSOffice_Level3"/>
      <w:bookmarkStart w:id="205" w:name="_Toc17236_WPSOffice_Level2"/>
      <w:r>
        <w:rPr>
          <w:rFonts w:hint="eastAsia" w:ascii="宋体" w:hAnsi="宋体"/>
        </w:rPr>
        <w:t>五、</w:t>
      </w:r>
      <w:bookmarkEnd w:id="204"/>
      <w:bookmarkEnd w:id="205"/>
      <w:r>
        <w:rPr>
          <w:rFonts w:hint="eastAsia" w:ascii="宋体" w:hAnsi="宋体"/>
        </w:rPr>
        <w:t>谈判保证金</w:t>
      </w:r>
    </w:p>
    <w:p>
      <w:pPr>
        <w:pStyle w:val="13"/>
        <w:spacing w:line="640" w:lineRule="exact"/>
      </w:pPr>
      <w:bookmarkStart w:id="206" w:name="_Toc17824_WPSOffice_Level3"/>
      <w:bookmarkStart w:id="207" w:name="_Toc21966_WPSOffice_Level2"/>
      <w:r>
        <w:rPr>
          <w:rFonts w:hint="eastAsia"/>
        </w:rPr>
        <w:t>六、投标人资格证明文件</w:t>
      </w:r>
      <w:bookmarkEnd w:id="206"/>
      <w:bookmarkEnd w:id="207"/>
    </w:p>
    <w:p>
      <w:pPr>
        <w:pStyle w:val="13"/>
        <w:spacing w:line="640" w:lineRule="exact"/>
      </w:pPr>
      <w:r>
        <w:rPr>
          <w:rFonts w:hint="eastAsia"/>
        </w:rPr>
        <w:t>七、构成响应文件的其他资料</w:t>
      </w:r>
    </w:p>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bookmarkStart w:id="208" w:name="_格式1：投标函"/>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482" w:firstLineChars="200"/>
        <w:rPr>
          <w:rFonts w:ascii="宋体" w:hAnsi="宋体" w:eastAsia="宋体"/>
          <w:sz w:val="24"/>
          <w:szCs w:val="24"/>
        </w:rPr>
      </w:pPr>
    </w:p>
    <w:p>
      <w:pPr>
        <w:rPr>
          <w:rFonts w:ascii="宋体" w:hAnsi="宋体"/>
          <w:sz w:val="24"/>
        </w:rPr>
      </w:pPr>
    </w:p>
    <w:p>
      <w:pPr>
        <w:pStyle w:val="3"/>
        <w:rPr>
          <w:rFonts w:ascii="宋体" w:hAnsi="宋体"/>
          <w:sz w:val="24"/>
          <w:szCs w:val="24"/>
        </w:rPr>
      </w:pPr>
    </w:p>
    <w:p>
      <w:pPr>
        <w:rPr>
          <w:rFonts w:ascii="宋体" w:hAnsi="宋体"/>
          <w:sz w:val="24"/>
        </w:rPr>
      </w:pPr>
    </w:p>
    <w:p>
      <w:pPr>
        <w:pStyle w:val="3"/>
        <w:rPr>
          <w:rFonts w:ascii="宋体" w:hAnsi="宋体"/>
          <w:sz w:val="24"/>
          <w:szCs w:val="24"/>
        </w:rPr>
      </w:pPr>
    </w:p>
    <w:p>
      <w:pPr>
        <w:rPr>
          <w:rFonts w:ascii="宋体" w:hAnsi="宋体"/>
          <w:sz w:val="24"/>
        </w:rPr>
      </w:pPr>
    </w:p>
    <w:p>
      <w:pPr>
        <w:pStyle w:val="3"/>
        <w:rPr>
          <w:rFonts w:ascii="宋体" w:hAnsi="宋体"/>
          <w:sz w:val="24"/>
          <w:szCs w:val="24"/>
        </w:rPr>
      </w:pPr>
    </w:p>
    <w:p>
      <w:pPr>
        <w:rPr>
          <w:rFonts w:ascii="宋体" w:hAnsi="宋体"/>
          <w:sz w:val="24"/>
        </w:rPr>
      </w:pPr>
    </w:p>
    <w:p>
      <w:pPr>
        <w:pStyle w:val="3"/>
        <w:rPr>
          <w:rFonts w:ascii="宋体" w:hAnsi="宋体"/>
          <w:sz w:val="24"/>
          <w:szCs w:val="24"/>
        </w:rPr>
      </w:pPr>
    </w:p>
    <w:p>
      <w:pPr>
        <w:rPr>
          <w:rFonts w:ascii="宋体" w:hAnsi="宋体"/>
          <w:sz w:val="24"/>
        </w:rPr>
      </w:pPr>
    </w:p>
    <w:p>
      <w:pPr>
        <w:pStyle w:val="3"/>
        <w:rPr>
          <w:rFonts w:ascii="宋体" w:hAnsi="宋体"/>
          <w:sz w:val="24"/>
          <w:szCs w:val="24"/>
        </w:rPr>
      </w:pPr>
    </w:p>
    <w:p>
      <w:pPr>
        <w:rPr>
          <w:rFonts w:ascii="宋体" w:hAnsi="宋体"/>
          <w:sz w:val="24"/>
        </w:rPr>
      </w:pPr>
    </w:p>
    <w:p>
      <w:pPr>
        <w:pStyle w:val="4"/>
        <w:spacing w:before="0" w:line="240" w:lineRule="atLeast"/>
        <w:ind w:left="0" w:firstLine="0"/>
        <w:rPr>
          <w:rFonts w:ascii="宋体" w:hAnsi="宋体" w:eastAsia="宋体"/>
          <w:szCs w:val="28"/>
        </w:rPr>
      </w:pPr>
      <w:bookmarkStart w:id="209" w:name="_Toc9761_WPSOffice_Level3"/>
      <w:bookmarkStart w:id="210" w:name="_Toc84455580"/>
      <w:r>
        <w:rPr>
          <w:rFonts w:hint="eastAsia" w:ascii="宋体" w:hAnsi="宋体" w:eastAsia="宋体"/>
          <w:sz w:val="24"/>
          <w:szCs w:val="24"/>
        </w:rPr>
        <w:t>格式1：</w:t>
      </w:r>
      <w:bookmarkEnd w:id="193"/>
      <w:bookmarkEnd w:id="194"/>
      <w:bookmarkEnd w:id="209"/>
      <w:r>
        <w:rPr>
          <w:rFonts w:hint="eastAsia" w:ascii="宋体" w:hAnsi="宋体" w:eastAsia="宋体"/>
          <w:sz w:val="24"/>
          <w:szCs w:val="24"/>
        </w:rPr>
        <w:t>谈判响应函</w:t>
      </w:r>
      <w:bookmarkEnd w:id="210"/>
    </w:p>
    <w:bookmarkEnd w:id="208"/>
    <w:p>
      <w:pPr>
        <w:spacing w:line="360" w:lineRule="auto"/>
        <w:jc w:val="center"/>
        <w:rPr>
          <w:rFonts w:ascii="宋体"/>
          <w:b/>
          <w:bCs/>
          <w:sz w:val="32"/>
          <w:szCs w:val="32"/>
        </w:rPr>
      </w:pPr>
      <w:r>
        <w:rPr>
          <w:rFonts w:hint="eastAsia" w:ascii="宋体"/>
          <w:b/>
          <w:bCs/>
          <w:sz w:val="32"/>
          <w:szCs w:val="32"/>
        </w:rPr>
        <w:t>谈判响应函</w:t>
      </w:r>
    </w:p>
    <w:p>
      <w:pPr>
        <w:spacing w:line="336" w:lineRule="auto"/>
        <w:jc w:val="left"/>
        <w:rPr>
          <w:rFonts w:ascii="宋体"/>
          <w:szCs w:val="21"/>
        </w:rPr>
      </w:pPr>
      <w:r>
        <w:rPr>
          <w:rFonts w:hint="eastAsia" w:ascii="宋体"/>
          <w:szCs w:val="21"/>
        </w:rPr>
        <w:t>致：</w:t>
      </w:r>
    </w:p>
    <w:p>
      <w:pPr>
        <w:adjustRightInd w:val="0"/>
        <w:snapToGrid w:val="0"/>
        <w:spacing w:before="120" w:beforeLines="50" w:line="360" w:lineRule="auto"/>
        <w:ind w:firstLine="435"/>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（项目名称）的谈判邀请（项目编号：</w:t>
      </w:r>
      <w:r>
        <w:rPr>
          <w:rFonts w:hint="eastAsia" w:ascii="宋体" w:hAnsi="宋体"/>
          <w:szCs w:val="21"/>
          <w:u w:val="single"/>
        </w:rPr>
        <w:t xml:space="preserve">         </w:t>
      </w:r>
      <w:r>
        <w:rPr>
          <w:rFonts w:hint="eastAsia" w:ascii="宋体" w:hAnsi="宋体"/>
          <w:szCs w:val="21"/>
        </w:rPr>
        <w:t xml:space="preserve">，签字代表 </w:t>
      </w:r>
      <w:r>
        <w:rPr>
          <w:rFonts w:hint="eastAsia" w:ascii="宋体" w:hAnsi="宋体"/>
          <w:szCs w:val="21"/>
          <w:u w:val="single"/>
        </w:rPr>
        <w:t xml:space="preserve">        </w:t>
      </w:r>
      <w:r>
        <w:rPr>
          <w:rFonts w:hint="eastAsia" w:ascii="宋体" w:hAnsi="宋体"/>
          <w:szCs w:val="21"/>
        </w:rPr>
        <w:t>（姓名、职务）经正式授权并代表投标人</w:t>
      </w:r>
      <w:r>
        <w:rPr>
          <w:rFonts w:hint="eastAsia" w:ascii="宋体" w:hAnsi="宋体"/>
          <w:szCs w:val="21"/>
          <w:u w:val="single"/>
        </w:rPr>
        <w:t xml:space="preserve">       </w:t>
      </w:r>
      <w:r>
        <w:rPr>
          <w:rFonts w:hint="eastAsia" w:ascii="宋体" w:hAnsi="宋体"/>
          <w:szCs w:val="21"/>
        </w:rPr>
        <w:t xml:space="preserve"> （投标人名称、地址）提交下述文件正本一份、副本一份并在此声明，所递交的谈判文件内容完整、真实。</w:t>
      </w:r>
    </w:p>
    <w:p>
      <w:pPr>
        <w:adjustRightInd w:val="0"/>
        <w:snapToGrid w:val="0"/>
        <w:spacing w:before="120" w:beforeLines="50" w:line="360" w:lineRule="auto"/>
        <w:ind w:firstLine="420" w:firstLineChars="200"/>
        <w:jc w:val="left"/>
        <w:rPr>
          <w:rFonts w:ascii="宋体" w:hAnsi="宋体"/>
          <w:szCs w:val="21"/>
        </w:rPr>
      </w:pPr>
      <w:r>
        <w:rPr>
          <w:rFonts w:hint="eastAsia" w:ascii="宋体" w:hAnsi="宋体"/>
          <w:szCs w:val="21"/>
        </w:rPr>
        <w:t xml:space="preserve">1、商务文件：谈判函、开标一览表、分项价格表、商务条款响应/偏离表、谈判资格证明文件、谈判保证金； </w:t>
      </w:r>
    </w:p>
    <w:p>
      <w:pPr>
        <w:adjustRightInd w:val="0"/>
        <w:snapToGrid w:val="0"/>
        <w:spacing w:before="120" w:beforeLines="50" w:line="360" w:lineRule="auto"/>
        <w:ind w:firstLine="420" w:firstLineChars="200"/>
        <w:jc w:val="left"/>
        <w:rPr>
          <w:rFonts w:ascii="宋体" w:hAnsi="宋体"/>
          <w:szCs w:val="21"/>
        </w:rPr>
      </w:pPr>
      <w:r>
        <w:rPr>
          <w:rFonts w:hint="eastAsia" w:ascii="宋体" w:hAnsi="宋体"/>
          <w:szCs w:val="21"/>
        </w:rPr>
        <w:t>2、技术文件：货物说明一览表、技术规格响应/偏离表、谈判货物符合谈判文件规定的证明文件。</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在此，签字代表宣布同意如下：</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1、所附谈判价格表中规定的应提交和交付的货物和服务谈判总价为：</w:t>
      </w:r>
      <w:r>
        <w:rPr>
          <w:rFonts w:hint="eastAsia" w:ascii="宋体" w:hAnsi="宋体"/>
          <w:szCs w:val="21"/>
          <w:u w:val="single"/>
        </w:rPr>
        <w:t xml:space="preserve">          </w:t>
      </w:r>
      <w:r>
        <w:rPr>
          <w:rFonts w:hint="eastAsia" w:ascii="宋体" w:hAnsi="宋体"/>
          <w:szCs w:val="21"/>
        </w:rPr>
        <w:t>(人民币大写)。</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2、投标人将按谈判文件的规定履行合同责任和义务。</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3、投标人已详细审查全部谈判文件。我们完全理解并同意放弃对这方面有不明及误解的权利。</w:t>
      </w:r>
    </w:p>
    <w:p>
      <w:pPr>
        <w:adjustRightInd w:val="0"/>
        <w:snapToGrid w:val="0"/>
        <w:spacing w:before="120" w:beforeLines="50" w:line="360" w:lineRule="auto"/>
        <w:ind w:firstLine="420" w:firstLineChars="200"/>
        <w:rPr>
          <w:rFonts w:ascii="宋体" w:hAnsi="宋体"/>
        </w:rPr>
      </w:pPr>
      <w:r>
        <w:rPr>
          <w:rFonts w:hint="eastAsia" w:ascii="宋体" w:hAnsi="宋体"/>
          <w:szCs w:val="21"/>
        </w:rPr>
        <w:t>4、本谈判有效期为自谈判文件规定的提交谈判文件截止之日起</w:t>
      </w:r>
      <w:r>
        <w:rPr>
          <w:rFonts w:hint="eastAsia" w:ascii="宋体" w:hAnsi="宋体"/>
          <w:szCs w:val="21"/>
          <w:u w:val="single"/>
        </w:rPr>
        <w:t xml:space="preserve">      </w:t>
      </w:r>
      <w:r>
        <w:rPr>
          <w:rFonts w:hint="eastAsia" w:ascii="宋体" w:hAnsi="宋体"/>
          <w:szCs w:val="21"/>
        </w:rPr>
        <w:t>个日历日。在谈判有效期内</w:t>
      </w:r>
      <w:r>
        <w:rPr>
          <w:rFonts w:hint="eastAsia" w:ascii="宋体" w:hAnsi="宋体"/>
        </w:rPr>
        <w:t>我方同意遵守本</w:t>
      </w:r>
      <w:r>
        <w:rPr>
          <w:rFonts w:hint="eastAsia" w:ascii="宋体" w:hAnsi="宋体"/>
          <w:szCs w:val="21"/>
        </w:rPr>
        <w:t>谈判</w:t>
      </w:r>
      <w:r>
        <w:rPr>
          <w:rFonts w:hint="eastAsia" w:ascii="宋体" w:hAnsi="宋体"/>
        </w:rPr>
        <w:t>文件中的承诺且在此期限期满之前</w:t>
      </w:r>
      <w:r>
        <w:rPr>
          <w:rFonts w:hint="eastAsia" w:ascii="宋体" w:hAnsi="宋体"/>
          <w:szCs w:val="21"/>
        </w:rPr>
        <w:t>谈判</w:t>
      </w:r>
      <w:r>
        <w:rPr>
          <w:rFonts w:hint="eastAsia" w:ascii="宋体" w:hAnsi="宋体"/>
        </w:rPr>
        <w:t>文件</w:t>
      </w:r>
      <w:r>
        <w:rPr>
          <w:rFonts w:hint="eastAsia" w:ascii="宋体" w:hAnsi="宋体"/>
          <w:szCs w:val="21"/>
        </w:rPr>
        <w:t>对我方具有法律约束力</w:t>
      </w:r>
      <w:r>
        <w:rPr>
          <w:rFonts w:hint="eastAsia" w:ascii="宋体" w:hAnsi="宋体"/>
        </w:rPr>
        <w:t>。</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5、根据第二章“谈判须知”规定，我方承诺：</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(1) 我们在参加本项目政府采购活动前三年内，在经营活动中没有违背法律的行为，并提供“参加政府采购活动前三年内在经营活动中没有重大违法记录的书面声明”；</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(2) 我们依照有关法律的规定，没有偷税、漏税的行为，没有逃避缴纳社会保险资金的行为；</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(3) 与采购人和采购代理机构</w:t>
      </w:r>
      <w:r>
        <w:rPr>
          <w:rFonts w:hint="eastAsia" w:ascii="宋体" w:hAnsi="宋体"/>
          <w:bCs/>
          <w:szCs w:val="21"/>
        </w:rPr>
        <w:t>无任何的隶属关系或者其他利害关系</w:t>
      </w:r>
      <w:r>
        <w:rPr>
          <w:rFonts w:hint="eastAsia" w:ascii="宋体" w:hAnsi="宋体"/>
          <w:szCs w:val="21"/>
        </w:rPr>
        <w:t>。</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 xml:space="preserve">6、同意提供贵方可能要求的与其谈判有关的一切数据或资料。 </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7、废标后，在收到贵方的通知后，我方本谈判函及所有谈判文件中声明、授权、承诺、盖章签字等，对于贵方采用竞争性谈判采购仍然有效。我方遵守贵方谈判文件关于特殊情形采用竞争性谈判采购的有关规定，并无异议。</w:t>
      </w:r>
    </w:p>
    <w:p>
      <w:pPr>
        <w:pStyle w:val="17"/>
        <w:adjustRightInd w:val="0"/>
        <w:snapToGrid w:val="0"/>
        <w:spacing w:before="120" w:beforeLines="50" w:line="360" w:lineRule="auto"/>
        <w:rPr>
          <w:rFonts w:hAnsi="宋体"/>
        </w:rPr>
      </w:pPr>
      <w:r>
        <w:rPr>
          <w:rFonts w:hint="eastAsia" w:hAnsi="宋体"/>
        </w:rPr>
        <w:t>投标人名称(盖章)：</w:t>
      </w:r>
    </w:p>
    <w:p>
      <w:pPr>
        <w:adjustRightInd w:val="0"/>
        <w:snapToGrid w:val="0"/>
        <w:spacing w:before="120" w:beforeLines="50" w:line="360" w:lineRule="auto"/>
        <w:rPr>
          <w:rFonts w:ascii="宋体" w:hAnsi="宋体"/>
          <w:szCs w:val="21"/>
          <w:u w:val="single"/>
        </w:rPr>
      </w:pPr>
      <w:r>
        <w:rPr>
          <w:rFonts w:hint="eastAsia" w:ascii="宋体" w:hAnsi="宋体"/>
          <w:szCs w:val="21"/>
        </w:rPr>
        <w:t>法定代表人或其授权的代理人(签字)：</w:t>
      </w:r>
      <w:r>
        <w:rPr>
          <w:rFonts w:hint="eastAsia" w:ascii="宋体" w:hAnsi="宋体"/>
          <w:szCs w:val="21"/>
          <w:u w:val="single"/>
        </w:rPr>
        <w:t xml:space="preserve">               </w:t>
      </w:r>
    </w:p>
    <w:p>
      <w:pPr>
        <w:adjustRightInd w:val="0"/>
        <w:snapToGrid w:val="0"/>
        <w:spacing w:before="120" w:beforeLines="5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120" w:beforeLines="50" w:line="360" w:lineRule="auto"/>
        <w:ind w:left="-88" w:leftChars="-42"/>
        <w:rPr>
          <w:rFonts w:ascii="宋体" w:hAnsi="宋体"/>
          <w:sz w:val="24"/>
        </w:rPr>
      </w:pPr>
    </w:p>
    <w:p>
      <w:pPr>
        <w:pStyle w:val="4"/>
        <w:spacing w:before="0" w:line="240" w:lineRule="atLeast"/>
        <w:ind w:left="0" w:firstLine="482" w:firstLineChars="200"/>
        <w:rPr>
          <w:rFonts w:ascii="宋体" w:hAnsi="宋体" w:eastAsia="宋体"/>
          <w:sz w:val="24"/>
          <w:szCs w:val="24"/>
        </w:rPr>
      </w:pPr>
    </w:p>
    <w:p>
      <w:pPr>
        <w:pStyle w:val="4"/>
        <w:spacing w:before="0" w:line="240" w:lineRule="atLeast"/>
        <w:ind w:left="0" w:firstLine="0"/>
        <w:rPr>
          <w:rFonts w:ascii="宋体" w:hAnsi="宋体" w:eastAsia="宋体"/>
          <w:sz w:val="24"/>
          <w:szCs w:val="24"/>
        </w:rPr>
      </w:pPr>
      <w:bookmarkStart w:id="211" w:name="_Toc84455581"/>
      <w:bookmarkStart w:id="212" w:name="_Toc29121_WPSOffice_Level3"/>
      <w:bookmarkStart w:id="213" w:name="_格式2：开标一览表"/>
      <w:r>
        <w:rPr>
          <w:rFonts w:hint="eastAsia" w:ascii="宋体" w:hAnsi="宋体" w:eastAsia="宋体"/>
          <w:sz w:val="24"/>
          <w:szCs w:val="24"/>
        </w:rPr>
        <w:t>格式2：竞争性谈判报价一览表</w:t>
      </w:r>
      <w:bookmarkEnd w:id="188"/>
      <w:bookmarkEnd w:id="195"/>
      <w:bookmarkEnd w:id="211"/>
      <w:bookmarkEnd w:id="212"/>
    </w:p>
    <w:bookmarkEnd w:id="213"/>
    <w:p>
      <w:pPr>
        <w:spacing w:line="360" w:lineRule="auto"/>
        <w:jc w:val="center"/>
        <w:rPr>
          <w:rFonts w:ascii="宋体"/>
          <w:b/>
          <w:bCs/>
          <w:sz w:val="28"/>
          <w:szCs w:val="28"/>
        </w:rPr>
      </w:pPr>
    </w:p>
    <w:p>
      <w:pPr>
        <w:spacing w:line="360" w:lineRule="auto"/>
        <w:jc w:val="center"/>
        <w:rPr>
          <w:rFonts w:ascii="宋体"/>
          <w:b/>
          <w:bCs/>
          <w:sz w:val="28"/>
          <w:szCs w:val="28"/>
        </w:rPr>
      </w:pPr>
      <w:r>
        <w:rPr>
          <w:rFonts w:hint="eastAsia" w:ascii="宋体"/>
          <w:b/>
          <w:bCs/>
          <w:sz w:val="28"/>
          <w:szCs w:val="28"/>
        </w:rPr>
        <w:t>竞争性谈判报价一览表</w:t>
      </w:r>
    </w:p>
    <w:p>
      <w:pPr>
        <w:spacing w:line="400" w:lineRule="exact"/>
        <w:rPr>
          <w:rFonts w:ascii="宋体"/>
          <w:sz w:val="24"/>
        </w:rPr>
      </w:pPr>
    </w:p>
    <w:p>
      <w:pPr>
        <w:spacing w:line="400" w:lineRule="exact"/>
        <w:rPr>
          <w:rFonts w:ascii="宋体"/>
          <w:szCs w:val="21"/>
          <w:u w:val="single"/>
        </w:rPr>
      </w:pPr>
      <w:r>
        <w:rPr>
          <w:rFonts w:hint="eastAsia" w:ascii="宋体"/>
          <w:szCs w:val="21"/>
        </w:rPr>
        <w:t>项目名称：</w:t>
      </w:r>
      <w:r>
        <w:rPr>
          <w:rFonts w:hint="eastAsia" w:ascii="宋体"/>
          <w:szCs w:val="21"/>
          <w:u w:val="single"/>
        </w:rPr>
        <w:t xml:space="preserve">            </w:t>
      </w:r>
      <w:r>
        <w:rPr>
          <w:rFonts w:hint="eastAsia" w:ascii="宋体"/>
          <w:szCs w:val="21"/>
        </w:rPr>
        <w:t xml:space="preserve">               采购项目编号：</w:t>
      </w:r>
      <w:r>
        <w:rPr>
          <w:rFonts w:hint="eastAsia" w:ascii="宋体"/>
          <w:szCs w:val="21"/>
          <w:u w:val="single"/>
        </w:rPr>
        <w:t xml:space="preserve">         </w:t>
      </w:r>
    </w:p>
    <w:tbl>
      <w:tblPr>
        <w:tblStyle w:val="37"/>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994"/>
        <w:gridCol w:w="2480"/>
        <w:gridCol w:w="170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3396" w:type="dxa"/>
            <w:gridSpan w:val="2"/>
            <w:noWrap/>
            <w:vAlign w:val="center"/>
          </w:tcPr>
          <w:p>
            <w:pPr>
              <w:spacing w:line="400" w:lineRule="exact"/>
              <w:jc w:val="center"/>
              <w:rPr>
                <w:rFonts w:ascii="宋体"/>
                <w:szCs w:val="21"/>
              </w:rPr>
            </w:pPr>
            <w:r>
              <w:rPr>
                <w:rFonts w:hint="eastAsia" w:ascii="宋体"/>
                <w:szCs w:val="21"/>
              </w:rPr>
              <w:t>总报价</w:t>
            </w:r>
          </w:p>
        </w:tc>
        <w:tc>
          <w:tcPr>
            <w:tcW w:w="2480" w:type="dxa"/>
            <w:noWrap/>
            <w:vAlign w:val="center"/>
          </w:tcPr>
          <w:p>
            <w:pPr>
              <w:spacing w:line="400" w:lineRule="exact"/>
              <w:ind w:firstLine="2" w:firstLineChars="1"/>
              <w:jc w:val="center"/>
              <w:rPr>
                <w:rFonts w:ascii="宋体"/>
                <w:szCs w:val="21"/>
              </w:rPr>
            </w:pPr>
            <w:r>
              <w:rPr>
                <w:rFonts w:hint="eastAsia" w:ascii="宋体"/>
                <w:szCs w:val="21"/>
              </w:rPr>
              <w:t>服务期</w:t>
            </w:r>
          </w:p>
        </w:tc>
        <w:tc>
          <w:tcPr>
            <w:tcW w:w="1701" w:type="dxa"/>
            <w:noWrap/>
            <w:vAlign w:val="center"/>
          </w:tcPr>
          <w:p>
            <w:pPr>
              <w:spacing w:line="400" w:lineRule="exact"/>
              <w:ind w:firstLine="2" w:firstLineChars="1"/>
              <w:jc w:val="center"/>
              <w:rPr>
                <w:rFonts w:ascii="宋体"/>
                <w:szCs w:val="21"/>
              </w:rPr>
            </w:pPr>
            <w:r>
              <w:rPr>
                <w:rFonts w:hint="eastAsia" w:ascii="宋体"/>
                <w:szCs w:val="21"/>
              </w:rPr>
              <w:t>供货期</w:t>
            </w:r>
          </w:p>
        </w:tc>
        <w:tc>
          <w:tcPr>
            <w:tcW w:w="2469" w:type="dxa"/>
            <w:noWrap/>
            <w:vAlign w:val="center"/>
          </w:tcPr>
          <w:p>
            <w:pPr>
              <w:spacing w:line="400" w:lineRule="exact"/>
              <w:ind w:firstLine="2" w:firstLineChars="1"/>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3396" w:type="dxa"/>
            <w:gridSpan w:val="2"/>
            <w:noWrap/>
            <w:vAlign w:val="center"/>
          </w:tcPr>
          <w:p>
            <w:pPr>
              <w:spacing w:line="400" w:lineRule="exact"/>
              <w:rPr>
                <w:szCs w:val="21"/>
              </w:rPr>
            </w:pPr>
            <w:r>
              <w:rPr>
                <w:rFonts w:hint="eastAsia"/>
                <w:szCs w:val="21"/>
              </w:rPr>
              <w:t>小写：</w:t>
            </w:r>
          </w:p>
          <w:p>
            <w:pPr>
              <w:spacing w:line="400" w:lineRule="exact"/>
              <w:rPr>
                <w:szCs w:val="21"/>
              </w:rPr>
            </w:pPr>
            <w:r>
              <w:rPr>
                <w:rFonts w:hint="eastAsia"/>
                <w:szCs w:val="21"/>
              </w:rPr>
              <w:t>大写：</w:t>
            </w:r>
          </w:p>
        </w:tc>
        <w:tc>
          <w:tcPr>
            <w:tcW w:w="2480" w:type="dxa"/>
            <w:noWrap/>
            <w:vAlign w:val="center"/>
          </w:tcPr>
          <w:p>
            <w:pPr>
              <w:spacing w:line="400" w:lineRule="exact"/>
              <w:rPr>
                <w:szCs w:val="21"/>
              </w:rPr>
            </w:pPr>
          </w:p>
        </w:tc>
        <w:tc>
          <w:tcPr>
            <w:tcW w:w="1701" w:type="dxa"/>
            <w:noWrap/>
          </w:tcPr>
          <w:p>
            <w:pPr>
              <w:pStyle w:val="17"/>
              <w:spacing w:line="400" w:lineRule="exact"/>
              <w:rPr>
                <w:rFonts w:cs="Courier New"/>
              </w:rPr>
            </w:pPr>
          </w:p>
        </w:tc>
        <w:tc>
          <w:tcPr>
            <w:tcW w:w="2469" w:type="dxa"/>
            <w:noWrap/>
            <w:vAlign w:val="center"/>
          </w:tcPr>
          <w:p>
            <w:pPr>
              <w:pStyle w:val="17"/>
              <w:spacing w:line="400" w:lineRule="exact"/>
              <w:jc w:val="center"/>
              <w:rPr>
                <w:rFonts w:ascii="Times New Roman"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4" w:hRule="atLeast"/>
          <w:jc w:val="center"/>
        </w:trPr>
        <w:tc>
          <w:tcPr>
            <w:tcW w:w="1402" w:type="dxa"/>
            <w:noWrap/>
          </w:tcPr>
          <w:p>
            <w:pPr>
              <w:spacing w:line="400" w:lineRule="exact"/>
              <w:ind w:firstLine="2" w:firstLineChars="1"/>
              <w:rPr>
                <w:rFonts w:ascii="宋体"/>
                <w:szCs w:val="21"/>
              </w:rPr>
            </w:pPr>
          </w:p>
        </w:tc>
        <w:tc>
          <w:tcPr>
            <w:tcW w:w="8644" w:type="dxa"/>
            <w:gridSpan w:val="4"/>
            <w:noWrap/>
            <w:vAlign w:val="center"/>
          </w:tcPr>
          <w:p>
            <w:pPr>
              <w:spacing w:line="400" w:lineRule="exact"/>
              <w:ind w:firstLine="2" w:firstLineChars="1"/>
              <w:rPr>
                <w:rFonts w:ascii="宋体"/>
                <w:szCs w:val="21"/>
              </w:rPr>
            </w:pPr>
            <w:r>
              <w:rPr>
                <w:rFonts w:hint="eastAsia" w:ascii="宋体"/>
                <w:szCs w:val="21"/>
              </w:rPr>
              <w:t>供应商：（盖单位公章）</w:t>
            </w:r>
          </w:p>
          <w:p>
            <w:pPr>
              <w:spacing w:line="400" w:lineRule="exact"/>
              <w:ind w:firstLine="2" w:firstLineChars="1"/>
              <w:rPr>
                <w:rFonts w:ascii="宋体"/>
                <w:szCs w:val="21"/>
              </w:rPr>
            </w:pPr>
            <w:r>
              <w:rPr>
                <w:rFonts w:hint="eastAsia" w:ascii="宋体"/>
                <w:szCs w:val="21"/>
              </w:rPr>
              <w:t>法定代表人或其委托代理人：（签字或盖章）</w:t>
            </w:r>
          </w:p>
          <w:p>
            <w:pPr>
              <w:adjustRightInd w:val="0"/>
              <w:snapToGrid w:val="0"/>
              <w:spacing w:line="400" w:lineRule="exact"/>
              <w:rPr>
                <w:rFonts w:ascii="宋体"/>
                <w:b/>
                <w:szCs w:val="21"/>
              </w:rPr>
            </w:pPr>
            <w:r>
              <w:rPr>
                <w:rFonts w:hint="eastAsia" w:ascii="宋体"/>
                <w:szCs w:val="21"/>
              </w:rPr>
              <w:t>日期：年  月    日</w:t>
            </w:r>
          </w:p>
          <w:p>
            <w:pPr>
              <w:pStyle w:val="17"/>
              <w:spacing w:line="400" w:lineRule="exact"/>
              <w:jc w:val="center"/>
              <w:rPr>
                <w:rFonts w:ascii="Times New Roman" w:cs="Courier New"/>
              </w:rPr>
            </w:pPr>
          </w:p>
        </w:tc>
      </w:tr>
    </w:tbl>
    <w:p>
      <w:pPr>
        <w:pStyle w:val="17"/>
        <w:spacing w:line="400" w:lineRule="exact"/>
      </w:pPr>
    </w:p>
    <w:p>
      <w:pPr>
        <w:pStyle w:val="17"/>
        <w:spacing w:line="400" w:lineRule="exact"/>
      </w:pPr>
    </w:p>
    <w:p>
      <w:pPr>
        <w:adjustRightInd w:val="0"/>
        <w:snapToGrid w:val="0"/>
        <w:spacing w:line="400" w:lineRule="exact"/>
        <w:ind w:left="-88" w:leftChars="-42"/>
        <w:rPr>
          <w:rFonts w:ascii="宋体"/>
          <w:szCs w:val="21"/>
        </w:rPr>
      </w:pPr>
    </w:p>
    <w:p>
      <w:pPr>
        <w:shd w:val="clear" w:color="auto" w:fill="FFFFFF"/>
        <w:snapToGrid w:val="0"/>
        <w:spacing w:line="400" w:lineRule="exact"/>
        <w:ind w:left="851" w:hanging="851"/>
        <w:rPr>
          <w:rFonts w:ascii="宋体"/>
          <w:sz w:val="24"/>
        </w:rPr>
      </w:pPr>
      <w:r>
        <w:rPr>
          <w:rFonts w:hint="eastAsia" w:ascii="宋体"/>
          <w:sz w:val="24"/>
        </w:rPr>
        <w:t> </w:t>
      </w:r>
    </w:p>
    <w:p>
      <w:pPr>
        <w:pStyle w:val="17"/>
        <w:spacing w:line="360" w:lineRule="auto"/>
        <w:rPr>
          <w:szCs w:val="21"/>
        </w:rPr>
      </w:pPr>
    </w:p>
    <w:p>
      <w:pPr>
        <w:pStyle w:val="17"/>
        <w:spacing w:line="360" w:lineRule="auto"/>
        <w:rPr>
          <w:szCs w:val="21"/>
        </w:rPr>
      </w:pPr>
    </w:p>
    <w:p>
      <w:pPr>
        <w:pStyle w:val="17"/>
        <w:spacing w:line="360" w:lineRule="auto"/>
        <w:rPr>
          <w:szCs w:val="21"/>
        </w:rPr>
      </w:pPr>
    </w:p>
    <w:p>
      <w:pPr>
        <w:pStyle w:val="17"/>
        <w:spacing w:line="360" w:lineRule="auto"/>
        <w:rPr>
          <w:szCs w:val="21"/>
        </w:rPr>
      </w:pPr>
    </w:p>
    <w:p>
      <w:pPr>
        <w:pStyle w:val="17"/>
        <w:spacing w:line="360" w:lineRule="auto"/>
        <w:rPr>
          <w:szCs w:val="21"/>
        </w:rPr>
      </w:pPr>
    </w:p>
    <w:p>
      <w:pPr>
        <w:pStyle w:val="4"/>
        <w:spacing w:before="0" w:line="240" w:lineRule="atLeast"/>
        <w:ind w:left="0" w:firstLine="0"/>
        <w:rPr>
          <w:rFonts w:ascii="宋体" w:hAnsi="宋体" w:eastAsia="宋体"/>
          <w:sz w:val="24"/>
          <w:szCs w:val="24"/>
        </w:rPr>
      </w:pPr>
      <w:bookmarkStart w:id="214" w:name="_Toc16894"/>
      <w:bookmarkStart w:id="215" w:name="_Toc60996689"/>
      <w:bookmarkStart w:id="216" w:name="_格式3：投标分项报价表"/>
    </w:p>
    <w:p>
      <w:pPr>
        <w:pStyle w:val="4"/>
        <w:spacing w:before="0" w:line="240" w:lineRule="atLeast"/>
        <w:ind w:left="0" w:firstLine="0"/>
        <w:rPr>
          <w:rFonts w:ascii="宋体" w:hAnsi="宋体" w:eastAsia="宋体"/>
          <w:sz w:val="24"/>
          <w:szCs w:val="24"/>
        </w:rPr>
      </w:pPr>
    </w:p>
    <w:p>
      <w:pPr>
        <w:pStyle w:val="4"/>
        <w:spacing w:before="0" w:line="240" w:lineRule="atLeast"/>
        <w:ind w:left="0" w:firstLine="0"/>
        <w:rPr>
          <w:rFonts w:ascii="宋体" w:hAnsi="宋体" w:eastAsia="宋体"/>
          <w:sz w:val="24"/>
          <w:szCs w:val="24"/>
        </w:rPr>
      </w:pPr>
    </w:p>
    <w:p>
      <w:pPr>
        <w:rPr>
          <w:rFonts w:ascii="宋体" w:hAnsi="宋体"/>
          <w:sz w:val="24"/>
        </w:rPr>
      </w:pPr>
    </w:p>
    <w:p>
      <w:pPr>
        <w:pStyle w:val="3"/>
        <w:rPr>
          <w:rFonts w:ascii="宋体" w:hAnsi="宋体"/>
          <w:sz w:val="24"/>
          <w:szCs w:val="24"/>
        </w:rPr>
      </w:pPr>
    </w:p>
    <w:p>
      <w:pPr>
        <w:rPr>
          <w:rFonts w:ascii="宋体" w:hAnsi="宋体"/>
          <w:sz w:val="24"/>
        </w:rPr>
      </w:pPr>
    </w:p>
    <w:p>
      <w:pPr>
        <w:pStyle w:val="4"/>
        <w:spacing w:before="0" w:line="240" w:lineRule="atLeast"/>
        <w:ind w:left="0" w:firstLine="0"/>
        <w:rPr>
          <w:rFonts w:ascii="宋体" w:hAnsi="宋体" w:eastAsia="宋体"/>
          <w:sz w:val="24"/>
          <w:szCs w:val="24"/>
        </w:rPr>
      </w:pPr>
    </w:p>
    <w:p>
      <w:pPr>
        <w:rPr>
          <w:rFonts w:ascii="宋体" w:hAnsi="宋体"/>
          <w:sz w:val="24"/>
        </w:rPr>
      </w:pPr>
    </w:p>
    <w:p>
      <w:pPr>
        <w:pStyle w:val="4"/>
        <w:spacing w:before="0" w:line="240" w:lineRule="atLeast"/>
        <w:ind w:left="0" w:firstLine="0"/>
        <w:rPr>
          <w:rFonts w:ascii="宋体" w:hAnsi="宋体" w:eastAsia="宋体"/>
          <w:sz w:val="24"/>
          <w:szCs w:val="24"/>
        </w:rPr>
      </w:pPr>
      <w:bookmarkStart w:id="217" w:name="_Toc12827_WPSOffice_Level3"/>
    </w:p>
    <w:p>
      <w:pPr>
        <w:pStyle w:val="4"/>
        <w:spacing w:before="0" w:line="240" w:lineRule="atLeast"/>
        <w:ind w:left="0" w:firstLine="0"/>
        <w:rPr>
          <w:rFonts w:ascii="宋体" w:hAnsi="宋体" w:eastAsia="宋体"/>
          <w:sz w:val="24"/>
          <w:szCs w:val="24"/>
        </w:rPr>
      </w:pPr>
      <w:bookmarkStart w:id="218" w:name="_Toc84455582"/>
      <w:r>
        <w:rPr>
          <w:rFonts w:hint="eastAsia" w:ascii="宋体" w:hAnsi="宋体" w:eastAsia="宋体"/>
          <w:sz w:val="24"/>
          <w:szCs w:val="24"/>
        </w:rPr>
        <w:t>格式</w:t>
      </w:r>
      <w:r>
        <w:rPr>
          <w:rFonts w:ascii="宋体" w:hAnsi="宋体" w:eastAsia="宋体"/>
          <w:sz w:val="24"/>
          <w:szCs w:val="24"/>
        </w:rPr>
        <w:t>3</w:t>
      </w:r>
      <w:r>
        <w:rPr>
          <w:rFonts w:hint="eastAsia" w:ascii="宋体" w:hAnsi="宋体" w:eastAsia="宋体"/>
          <w:sz w:val="24"/>
          <w:szCs w:val="24"/>
        </w:rPr>
        <w:t>：</w:t>
      </w:r>
      <w:bookmarkEnd w:id="214"/>
      <w:r>
        <w:rPr>
          <w:rFonts w:hint="eastAsia" w:ascii="宋体" w:hAnsi="宋体" w:eastAsia="宋体"/>
          <w:sz w:val="24"/>
          <w:szCs w:val="24"/>
        </w:rPr>
        <w:t>分项报价表</w:t>
      </w:r>
      <w:bookmarkEnd w:id="215"/>
      <w:bookmarkEnd w:id="217"/>
      <w:bookmarkEnd w:id="218"/>
    </w:p>
    <w:bookmarkEnd w:id="216"/>
    <w:p>
      <w:pPr>
        <w:rPr>
          <w:rFonts w:ascii="宋体"/>
          <w:b/>
          <w:bCs/>
          <w:sz w:val="28"/>
          <w:szCs w:val="28"/>
        </w:rPr>
      </w:pPr>
    </w:p>
    <w:p>
      <w:pPr>
        <w:jc w:val="center"/>
        <w:rPr>
          <w:rFonts w:ascii="宋体"/>
          <w:b/>
          <w:bCs/>
          <w:sz w:val="28"/>
          <w:szCs w:val="28"/>
        </w:rPr>
      </w:pPr>
      <w:bookmarkStart w:id="219" w:name="_Toc7817_WPSOffice_Level3"/>
      <w:r>
        <w:rPr>
          <w:rFonts w:hint="eastAsia" w:ascii="宋体"/>
          <w:b/>
          <w:bCs/>
          <w:sz w:val="28"/>
          <w:szCs w:val="28"/>
        </w:rPr>
        <w:t>分项报价表</w:t>
      </w:r>
      <w:bookmarkEnd w:id="219"/>
    </w:p>
    <w:p>
      <w:pPr>
        <w:spacing w:line="400" w:lineRule="exact"/>
        <w:rPr>
          <w:rFonts w:ascii="宋体"/>
          <w:szCs w:val="21"/>
          <w:u w:val="single"/>
        </w:rPr>
      </w:pPr>
      <w:r>
        <w:rPr>
          <w:rFonts w:hint="eastAsia" w:ascii="宋体"/>
          <w:szCs w:val="21"/>
        </w:rPr>
        <w:t>项目名称：</w:t>
      </w:r>
      <w:r>
        <w:rPr>
          <w:rFonts w:hint="eastAsia" w:ascii="宋体"/>
          <w:szCs w:val="21"/>
          <w:u w:val="single"/>
        </w:rPr>
        <w:t xml:space="preserve">              </w:t>
      </w:r>
      <w:r>
        <w:rPr>
          <w:rFonts w:hint="eastAsia" w:ascii="宋体"/>
          <w:szCs w:val="21"/>
        </w:rPr>
        <w:t xml:space="preserve">             采购项目编号：</w:t>
      </w:r>
      <w:r>
        <w:rPr>
          <w:rFonts w:hint="eastAsia" w:ascii="宋体"/>
          <w:szCs w:val="21"/>
          <w:u w:val="single"/>
        </w:rPr>
        <w:t xml:space="preserve">           </w:t>
      </w:r>
      <w:r>
        <w:rPr>
          <w:rFonts w:hint="eastAsia" w:ascii="宋体"/>
          <w:szCs w:val="21"/>
        </w:rPr>
        <w:t xml:space="preserve">      货币单位:元  </w:t>
      </w:r>
    </w:p>
    <w:p>
      <w:pPr>
        <w:pStyle w:val="13"/>
      </w:pPr>
    </w:p>
    <w:tbl>
      <w:tblPr>
        <w:tblStyle w:val="37"/>
        <w:tblpPr w:leftFromText="180" w:rightFromText="180" w:vertAnchor="text" w:horzAnchor="page" w:tblpX="1175" w:tblpY="579"/>
        <w:tblOverlap w:val="never"/>
        <w:tblW w:w="969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690"/>
        <w:gridCol w:w="1020"/>
        <w:gridCol w:w="630"/>
        <w:gridCol w:w="1110"/>
        <w:gridCol w:w="1020"/>
        <w:gridCol w:w="1335"/>
        <w:gridCol w:w="1140"/>
        <w:gridCol w:w="825"/>
        <w:gridCol w:w="705"/>
        <w:gridCol w:w="12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vMerge w:val="restart"/>
            <w:tcBorders>
              <w:top w:val="double" w:color="auto" w:sz="4" w:space="0"/>
              <w:left w:val="double" w:color="auto" w:sz="4" w:space="0"/>
              <w:right w:val="single" w:color="auto" w:sz="4" w:space="0"/>
            </w:tcBorders>
            <w:noWrap/>
            <w:vAlign w:val="center"/>
          </w:tcPr>
          <w:p>
            <w:pPr>
              <w:spacing w:line="400" w:lineRule="exact"/>
              <w:jc w:val="center"/>
              <w:rPr>
                <w:rFonts w:ascii="宋体"/>
                <w:b/>
                <w:szCs w:val="21"/>
              </w:rPr>
            </w:pPr>
            <w:r>
              <w:rPr>
                <w:rFonts w:hint="eastAsia" w:ascii="宋体"/>
                <w:b/>
                <w:szCs w:val="21"/>
              </w:rPr>
              <w:t>序号</w:t>
            </w:r>
          </w:p>
        </w:tc>
        <w:tc>
          <w:tcPr>
            <w:tcW w:w="1020" w:type="dxa"/>
            <w:vMerge w:val="restart"/>
            <w:tcBorders>
              <w:top w:val="double" w:color="auto" w:sz="4" w:space="0"/>
              <w:left w:val="single" w:color="auto" w:sz="4" w:space="0"/>
              <w:right w:val="single" w:color="000000" w:sz="6" w:space="0"/>
            </w:tcBorders>
            <w:noWrap/>
            <w:vAlign w:val="center"/>
          </w:tcPr>
          <w:p>
            <w:pPr>
              <w:spacing w:line="400" w:lineRule="exact"/>
              <w:ind w:left="198" w:hanging="198" w:hangingChars="94"/>
              <w:jc w:val="center"/>
              <w:rPr>
                <w:rFonts w:ascii="宋体"/>
                <w:b/>
                <w:szCs w:val="21"/>
              </w:rPr>
            </w:pPr>
            <w:r>
              <w:rPr>
                <w:rFonts w:hint="eastAsia" w:ascii="宋体"/>
                <w:b/>
                <w:szCs w:val="21"/>
              </w:rPr>
              <w:t>货物名称</w:t>
            </w:r>
          </w:p>
        </w:tc>
        <w:tc>
          <w:tcPr>
            <w:tcW w:w="630" w:type="dxa"/>
            <w:vMerge w:val="restart"/>
            <w:tcBorders>
              <w:top w:val="double" w:color="auto" w:sz="4" w:space="0"/>
              <w:left w:val="single" w:color="000000" w:sz="6" w:space="0"/>
              <w:right w:val="single" w:color="000000" w:sz="6" w:space="0"/>
            </w:tcBorders>
            <w:noWrap/>
            <w:vAlign w:val="center"/>
          </w:tcPr>
          <w:p>
            <w:pPr>
              <w:spacing w:line="400" w:lineRule="exact"/>
              <w:jc w:val="center"/>
              <w:rPr>
                <w:rFonts w:ascii="宋体"/>
                <w:b/>
                <w:szCs w:val="21"/>
              </w:rPr>
            </w:pPr>
            <w:r>
              <w:rPr>
                <w:rFonts w:hint="eastAsia" w:ascii="宋体"/>
                <w:b/>
                <w:szCs w:val="21"/>
              </w:rPr>
              <w:t>品牌</w:t>
            </w:r>
          </w:p>
        </w:tc>
        <w:tc>
          <w:tcPr>
            <w:tcW w:w="1110" w:type="dxa"/>
            <w:vMerge w:val="restart"/>
            <w:tcBorders>
              <w:top w:val="double" w:color="auto" w:sz="4" w:space="0"/>
              <w:left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规格型号</w:t>
            </w:r>
          </w:p>
        </w:tc>
        <w:tc>
          <w:tcPr>
            <w:tcW w:w="1020" w:type="dxa"/>
            <w:vMerge w:val="restart"/>
            <w:tcBorders>
              <w:top w:val="double" w:color="auto" w:sz="4" w:space="0"/>
              <w:left w:val="single" w:color="auto" w:sz="4" w:space="0"/>
              <w:right w:val="single" w:color="000000" w:sz="6" w:space="0"/>
            </w:tcBorders>
            <w:noWrap/>
            <w:vAlign w:val="center"/>
          </w:tcPr>
          <w:p>
            <w:pPr>
              <w:spacing w:line="400" w:lineRule="exact"/>
              <w:jc w:val="center"/>
              <w:rPr>
                <w:rFonts w:ascii="宋体"/>
                <w:b/>
                <w:szCs w:val="21"/>
              </w:rPr>
            </w:pPr>
            <w:r>
              <w:rPr>
                <w:rFonts w:hint="eastAsia" w:ascii="宋体"/>
                <w:b/>
                <w:szCs w:val="21"/>
              </w:rPr>
              <w:t>原产地</w:t>
            </w:r>
          </w:p>
        </w:tc>
        <w:tc>
          <w:tcPr>
            <w:tcW w:w="1335" w:type="dxa"/>
            <w:vMerge w:val="restart"/>
            <w:tcBorders>
              <w:top w:val="double" w:color="auto" w:sz="4" w:space="0"/>
              <w:left w:val="single" w:color="000000" w:sz="6" w:space="0"/>
              <w:right w:val="single" w:color="000000" w:sz="6" w:space="0"/>
            </w:tcBorders>
            <w:noWrap/>
            <w:vAlign w:val="center"/>
          </w:tcPr>
          <w:p>
            <w:pPr>
              <w:spacing w:line="400" w:lineRule="exact"/>
              <w:jc w:val="center"/>
              <w:rPr>
                <w:rFonts w:ascii="宋体"/>
                <w:b/>
                <w:szCs w:val="21"/>
              </w:rPr>
            </w:pPr>
            <w:r>
              <w:rPr>
                <w:rFonts w:hint="eastAsia" w:ascii="宋体"/>
                <w:b/>
                <w:szCs w:val="21"/>
              </w:rPr>
              <w:t>制造商名称</w:t>
            </w:r>
          </w:p>
        </w:tc>
        <w:tc>
          <w:tcPr>
            <w:tcW w:w="1140" w:type="dxa"/>
            <w:vMerge w:val="restart"/>
            <w:tcBorders>
              <w:top w:val="double" w:color="auto" w:sz="4" w:space="0"/>
              <w:left w:val="single" w:color="000000" w:sz="6" w:space="0"/>
              <w:right w:val="single" w:color="000000" w:sz="6" w:space="0"/>
            </w:tcBorders>
            <w:noWrap/>
            <w:vAlign w:val="center"/>
          </w:tcPr>
          <w:p>
            <w:pPr>
              <w:spacing w:line="400" w:lineRule="exact"/>
              <w:jc w:val="center"/>
              <w:rPr>
                <w:rFonts w:ascii="宋体"/>
                <w:b/>
                <w:szCs w:val="21"/>
              </w:rPr>
            </w:pPr>
            <w:r>
              <w:rPr>
                <w:rFonts w:hint="eastAsia" w:ascii="宋体"/>
                <w:b/>
                <w:szCs w:val="21"/>
              </w:rPr>
              <w:t>数量</w:t>
            </w:r>
          </w:p>
        </w:tc>
        <w:tc>
          <w:tcPr>
            <w:tcW w:w="1530" w:type="dxa"/>
            <w:gridSpan w:val="2"/>
            <w:tcBorders>
              <w:top w:val="double" w:color="auto" w:sz="4" w:space="0"/>
              <w:left w:val="single" w:color="000000" w:sz="6" w:space="0"/>
              <w:bottom w:val="single" w:color="auto" w:sz="4" w:space="0"/>
              <w:right w:val="double" w:color="auto" w:sz="4" w:space="0"/>
            </w:tcBorders>
            <w:noWrap/>
            <w:vAlign w:val="center"/>
          </w:tcPr>
          <w:p>
            <w:pPr>
              <w:spacing w:line="400" w:lineRule="exact"/>
              <w:jc w:val="center"/>
              <w:rPr>
                <w:rFonts w:ascii="宋体"/>
                <w:b/>
                <w:szCs w:val="21"/>
              </w:rPr>
            </w:pPr>
            <w:r>
              <w:rPr>
                <w:rFonts w:hint="eastAsia" w:ascii="宋体"/>
                <w:b/>
                <w:szCs w:val="21"/>
              </w:rPr>
              <w:t>价格</w:t>
            </w:r>
          </w:p>
        </w:tc>
        <w:tc>
          <w:tcPr>
            <w:tcW w:w="1215" w:type="dxa"/>
            <w:vMerge w:val="restart"/>
            <w:tcBorders>
              <w:top w:val="double" w:color="auto" w:sz="4" w:space="0"/>
              <w:left w:val="single" w:color="000000" w:sz="6" w:space="0"/>
              <w:right w:val="double" w:color="auto" w:sz="4" w:space="0"/>
            </w:tcBorders>
            <w:noWrap/>
            <w:vAlign w:val="center"/>
          </w:tcPr>
          <w:p>
            <w:pPr>
              <w:tabs>
                <w:tab w:val="left" w:pos="572"/>
              </w:tabs>
              <w:spacing w:line="400" w:lineRule="exact"/>
              <w:jc w:val="center"/>
              <w:rPr>
                <w:rFonts w:ascii="宋体"/>
                <w:b/>
                <w:szCs w:val="21"/>
              </w:rPr>
            </w:pPr>
            <w:r>
              <w:rPr>
                <w:rFonts w:hint="eastAsia" w:ascii="宋体"/>
                <w:b/>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17" w:hRule="atLeast"/>
        </w:trPr>
        <w:tc>
          <w:tcPr>
            <w:tcW w:w="690" w:type="dxa"/>
            <w:vMerge w:val="continue"/>
            <w:tcBorders>
              <w:left w:val="double" w:color="auto" w:sz="4" w:space="0"/>
              <w:bottom w:val="single" w:color="auto" w:sz="4" w:space="0"/>
              <w:right w:val="single" w:color="auto" w:sz="4" w:space="0"/>
            </w:tcBorders>
            <w:noWrap/>
            <w:vAlign w:val="center"/>
          </w:tcPr>
          <w:p>
            <w:pPr>
              <w:spacing w:line="400" w:lineRule="exact"/>
            </w:pPr>
          </w:p>
        </w:tc>
        <w:tc>
          <w:tcPr>
            <w:tcW w:w="1020" w:type="dxa"/>
            <w:vMerge w:val="continue"/>
            <w:tcBorders>
              <w:left w:val="single" w:color="auto" w:sz="4" w:space="0"/>
              <w:bottom w:val="single" w:color="auto" w:sz="4" w:space="0"/>
              <w:right w:val="single" w:color="000000" w:sz="6" w:space="0"/>
            </w:tcBorders>
            <w:noWrap/>
            <w:vAlign w:val="center"/>
          </w:tcPr>
          <w:p>
            <w:pPr>
              <w:spacing w:line="400" w:lineRule="exact"/>
            </w:pPr>
          </w:p>
        </w:tc>
        <w:tc>
          <w:tcPr>
            <w:tcW w:w="630" w:type="dxa"/>
            <w:vMerge w:val="continue"/>
            <w:tcBorders>
              <w:left w:val="single" w:color="000000" w:sz="6" w:space="0"/>
              <w:bottom w:val="single" w:color="auto" w:sz="4" w:space="0"/>
              <w:right w:val="single" w:color="000000" w:sz="6" w:space="0"/>
            </w:tcBorders>
            <w:noWrap/>
          </w:tcPr>
          <w:p>
            <w:pPr>
              <w:spacing w:line="400" w:lineRule="exact"/>
            </w:pPr>
          </w:p>
        </w:tc>
        <w:tc>
          <w:tcPr>
            <w:tcW w:w="1110" w:type="dxa"/>
            <w:vMerge w:val="continue"/>
            <w:tcBorders>
              <w:left w:val="single" w:color="000000" w:sz="6" w:space="0"/>
              <w:bottom w:val="single" w:color="auto" w:sz="4" w:space="0"/>
              <w:right w:val="single" w:color="auto" w:sz="4" w:space="0"/>
            </w:tcBorders>
            <w:noWrap/>
            <w:vAlign w:val="center"/>
          </w:tcPr>
          <w:p>
            <w:pPr>
              <w:spacing w:line="400" w:lineRule="exact"/>
            </w:pPr>
          </w:p>
        </w:tc>
        <w:tc>
          <w:tcPr>
            <w:tcW w:w="1020" w:type="dxa"/>
            <w:vMerge w:val="continue"/>
            <w:tcBorders>
              <w:left w:val="single" w:color="auto" w:sz="4" w:space="0"/>
              <w:bottom w:val="single" w:color="auto" w:sz="4" w:space="0"/>
              <w:right w:val="single" w:color="000000" w:sz="6" w:space="0"/>
            </w:tcBorders>
            <w:noWrap/>
            <w:vAlign w:val="center"/>
          </w:tcPr>
          <w:p>
            <w:pPr>
              <w:spacing w:line="400" w:lineRule="exact"/>
            </w:pPr>
          </w:p>
        </w:tc>
        <w:tc>
          <w:tcPr>
            <w:tcW w:w="1335" w:type="dxa"/>
            <w:vMerge w:val="continue"/>
            <w:tcBorders>
              <w:left w:val="single" w:color="000000" w:sz="6" w:space="0"/>
              <w:bottom w:val="single" w:color="auto" w:sz="4" w:space="0"/>
              <w:right w:val="single" w:color="000000" w:sz="6" w:space="0"/>
            </w:tcBorders>
            <w:noWrap/>
          </w:tcPr>
          <w:p>
            <w:pPr>
              <w:spacing w:line="400" w:lineRule="exact"/>
            </w:pPr>
          </w:p>
        </w:tc>
        <w:tc>
          <w:tcPr>
            <w:tcW w:w="1140" w:type="dxa"/>
            <w:vMerge w:val="continue"/>
            <w:tcBorders>
              <w:left w:val="single" w:color="000000" w:sz="6" w:space="0"/>
              <w:bottom w:val="single" w:color="auto" w:sz="4" w:space="0"/>
              <w:right w:val="single" w:color="000000" w:sz="6" w:space="0"/>
            </w:tcBorders>
            <w:noWrap/>
            <w:vAlign w:val="center"/>
          </w:tcPr>
          <w:p>
            <w:pPr>
              <w:spacing w:line="400" w:lineRule="exact"/>
            </w:pPr>
          </w:p>
        </w:tc>
        <w:tc>
          <w:tcPr>
            <w:tcW w:w="825" w:type="dxa"/>
            <w:tcBorders>
              <w:top w:val="single" w:color="auto" w:sz="4" w:space="0"/>
              <w:left w:val="single" w:color="000000" w:sz="6" w:space="0"/>
              <w:bottom w:val="single" w:color="auto" w:sz="4" w:space="0"/>
              <w:right w:val="single" w:color="000000" w:sz="6" w:space="0"/>
            </w:tcBorders>
            <w:noWrap/>
            <w:vAlign w:val="center"/>
          </w:tcPr>
          <w:p>
            <w:pPr>
              <w:spacing w:line="400" w:lineRule="exact"/>
              <w:jc w:val="center"/>
              <w:rPr>
                <w:rFonts w:ascii="宋体"/>
                <w:b/>
                <w:szCs w:val="21"/>
              </w:rPr>
            </w:pPr>
            <w:r>
              <w:rPr>
                <w:rFonts w:hint="eastAsia" w:ascii="宋体"/>
                <w:b/>
                <w:szCs w:val="21"/>
              </w:rPr>
              <w:t>单价</w:t>
            </w:r>
          </w:p>
        </w:tc>
        <w:tc>
          <w:tcPr>
            <w:tcW w:w="705" w:type="dxa"/>
            <w:tcBorders>
              <w:top w:val="single" w:color="auto" w:sz="4" w:space="0"/>
              <w:left w:val="single" w:color="000000" w:sz="6" w:space="0"/>
              <w:bottom w:val="single" w:color="auto" w:sz="4" w:space="0"/>
              <w:right w:val="double" w:color="auto" w:sz="4" w:space="0"/>
            </w:tcBorders>
            <w:noWrap/>
            <w:vAlign w:val="center"/>
          </w:tcPr>
          <w:p>
            <w:pPr>
              <w:spacing w:line="400" w:lineRule="exact"/>
              <w:jc w:val="center"/>
              <w:rPr>
                <w:rFonts w:ascii="宋体"/>
                <w:b/>
                <w:szCs w:val="21"/>
              </w:rPr>
            </w:pPr>
            <w:r>
              <w:rPr>
                <w:rFonts w:hint="eastAsia" w:ascii="宋体"/>
                <w:b/>
                <w:szCs w:val="21"/>
              </w:rPr>
              <w:t>合计</w:t>
            </w:r>
          </w:p>
        </w:tc>
        <w:tc>
          <w:tcPr>
            <w:tcW w:w="1215" w:type="dxa"/>
            <w:vMerge w:val="continue"/>
            <w:tcBorders>
              <w:left w:val="single" w:color="000000" w:sz="6" w:space="0"/>
              <w:bottom w:val="single" w:color="auto" w:sz="4" w:space="0"/>
              <w:right w:val="double" w:color="auto" w:sz="4" w:space="0"/>
            </w:tcBorders>
            <w:noWrap/>
            <w:vAlign w:val="center"/>
          </w:tcPr>
          <w:p>
            <w:pPr>
              <w:spacing w:line="400" w:lineRule="exact"/>
              <w:jc w:val="center"/>
              <w:rPr>
                <w:rFonts w:ascii="宋体"/>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auto" w:sz="4"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1</w:t>
            </w:r>
          </w:p>
        </w:tc>
        <w:tc>
          <w:tcPr>
            <w:tcW w:w="1020" w:type="dxa"/>
            <w:tcBorders>
              <w:top w:val="single" w:color="auto" w:sz="4"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auto" w:sz="4"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auto" w:sz="4"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auto" w:sz="4"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auto" w:sz="4"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auto" w:sz="4"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auto" w:sz="4"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tcBorders>
              <w:top w:val="single" w:color="auto" w:sz="4" w:space="0"/>
              <w:left w:val="single" w:color="000000" w:sz="6" w:space="0"/>
              <w:bottom w:val="single" w:color="auto" w:sz="4" w:space="0"/>
              <w:right w:val="double" w:color="auto" w:sz="4" w:space="0"/>
            </w:tcBorders>
            <w:noWrap/>
            <w:vAlign w:val="center"/>
          </w:tcPr>
          <w:p>
            <w:pPr>
              <w:spacing w:line="400" w:lineRule="exact"/>
              <w:rPr>
                <w:rFonts w:ascii="宋体"/>
                <w:szCs w:val="21"/>
              </w:rPr>
            </w:pPr>
          </w:p>
        </w:tc>
        <w:tc>
          <w:tcPr>
            <w:tcW w:w="1215" w:type="dxa"/>
            <w:tcBorders>
              <w:top w:val="single" w:color="auto" w:sz="4" w:space="0"/>
              <w:left w:val="single" w:color="000000" w:sz="6" w:space="0"/>
              <w:bottom w:val="single" w:color="auto" w:sz="4" w:space="0"/>
              <w:right w:val="double" w:color="auto" w:sz="4" w:space="0"/>
            </w:tcBorders>
            <w:noWrap/>
            <w:vAlign w:val="center"/>
          </w:tcPr>
          <w:p>
            <w:pPr>
              <w:spacing w:line="400" w:lineRule="exact"/>
              <w:jc w:val="center"/>
              <w:rPr>
                <w:rFonts w:ascii="宋体"/>
                <w:szCs w:val="21"/>
              </w:rPr>
            </w:pPr>
            <w:r>
              <w:rPr>
                <w:rFonts w:hint="eastAsia" w:ascii="宋体"/>
                <w:szCs w:val="21"/>
              </w:rPr>
              <w:t>半自动体外除颤仪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2</w:t>
            </w: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restart"/>
            <w:tcBorders>
              <w:top w:val="single" w:color="auto" w:sz="4" w:space="0"/>
              <w:left w:val="single" w:color="000000" w:sz="6" w:space="0"/>
              <w:right w:val="double" w:color="auto" w:sz="4" w:space="0"/>
            </w:tcBorders>
            <w:noWrap/>
            <w:vAlign w:val="center"/>
          </w:tcPr>
          <w:p>
            <w:pPr>
              <w:spacing w:line="400" w:lineRule="exact"/>
              <w:rPr>
                <w:rFonts w:ascii="宋体"/>
                <w:szCs w:val="21"/>
              </w:rPr>
            </w:pPr>
          </w:p>
        </w:tc>
        <w:tc>
          <w:tcPr>
            <w:tcW w:w="1215" w:type="dxa"/>
            <w:vMerge w:val="restart"/>
            <w:tcBorders>
              <w:top w:val="single" w:color="auto" w:sz="4" w:space="0"/>
              <w:left w:val="single" w:color="000000" w:sz="6" w:space="0"/>
              <w:right w:val="double" w:color="auto" w:sz="4" w:space="0"/>
            </w:tcBorders>
            <w:noWrap/>
            <w:vAlign w:val="center"/>
          </w:tcPr>
          <w:p>
            <w:pPr>
              <w:spacing w:line="400" w:lineRule="exact"/>
              <w:jc w:val="center"/>
              <w:rPr>
                <w:rFonts w:ascii="宋体"/>
                <w:szCs w:val="21"/>
              </w:rPr>
            </w:pPr>
            <w:r>
              <w:rPr>
                <w:rFonts w:hint="eastAsia" w:ascii="宋体"/>
                <w:szCs w:val="21"/>
              </w:rPr>
              <w:t>急救箱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w:t>
            </w: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continue"/>
            <w:tcBorders>
              <w:left w:val="single" w:color="000000" w:sz="6"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continue"/>
            <w:tcBorders>
              <w:left w:val="single" w:color="000000" w:sz="6"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continue"/>
            <w:tcBorders>
              <w:left w:val="single" w:color="000000" w:sz="6" w:space="0"/>
              <w:bottom w:val="single" w:color="auto" w:sz="4"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bottom w:val="single" w:color="auto" w:sz="4"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double" w:color="auto" w:sz="4"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double" w:color="auto" w:sz="4" w:space="0"/>
              <w:left w:val="single" w:color="auto" w:sz="4" w:space="0"/>
              <w:bottom w:val="single" w:color="000000" w:sz="6" w:space="0"/>
              <w:right w:val="single" w:color="000000" w:sz="6" w:space="0"/>
            </w:tcBorders>
            <w:noWrap/>
            <w:vAlign w:val="center"/>
          </w:tcPr>
          <w:p>
            <w:pPr>
              <w:spacing w:line="400" w:lineRule="exact"/>
              <w:jc w:val="center"/>
              <w:rPr>
                <w:rFonts w:ascii="宋体"/>
                <w:b/>
                <w:szCs w:val="21"/>
              </w:rPr>
            </w:pPr>
          </w:p>
        </w:tc>
        <w:tc>
          <w:tcPr>
            <w:tcW w:w="630" w:type="dxa"/>
            <w:tcBorders>
              <w:top w:val="double" w:color="auto" w:sz="4" w:space="0"/>
              <w:left w:val="single" w:color="000000" w:sz="6" w:space="0"/>
              <w:bottom w:val="single" w:color="000000" w:sz="6" w:space="0"/>
              <w:right w:val="single" w:color="auto" w:sz="4" w:space="0"/>
            </w:tcBorders>
            <w:noWrap/>
          </w:tcPr>
          <w:p>
            <w:pPr>
              <w:spacing w:line="400" w:lineRule="exact"/>
              <w:jc w:val="center"/>
              <w:rPr>
                <w:rFonts w:ascii="宋体"/>
                <w:b/>
                <w:szCs w:val="21"/>
              </w:rPr>
            </w:pPr>
          </w:p>
        </w:tc>
        <w:tc>
          <w:tcPr>
            <w:tcW w:w="1110" w:type="dxa"/>
            <w:tcBorders>
              <w:top w:val="double" w:color="auto" w:sz="4"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020" w:type="dxa"/>
            <w:tcBorders>
              <w:top w:val="double" w:color="auto" w:sz="4"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335" w:type="dxa"/>
            <w:tcBorders>
              <w:top w:val="double" w:color="auto" w:sz="4"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140" w:type="dxa"/>
            <w:tcBorders>
              <w:top w:val="double" w:color="auto" w:sz="4" w:space="0"/>
              <w:left w:val="single" w:color="auto" w:sz="4" w:space="0"/>
              <w:bottom w:val="single" w:color="000000" w:sz="6" w:space="0"/>
              <w:right w:val="single" w:color="000000" w:sz="6" w:space="0"/>
            </w:tcBorders>
            <w:noWrap/>
          </w:tcPr>
          <w:p>
            <w:pPr>
              <w:spacing w:line="400" w:lineRule="exact"/>
              <w:jc w:val="center"/>
              <w:rPr>
                <w:rFonts w:ascii="宋体"/>
                <w:b/>
                <w:szCs w:val="21"/>
              </w:rPr>
            </w:pPr>
          </w:p>
        </w:tc>
        <w:tc>
          <w:tcPr>
            <w:tcW w:w="825" w:type="dxa"/>
            <w:tcBorders>
              <w:top w:val="double" w:color="auto" w:sz="4" w:space="0"/>
              <w:left w:val="single" w:color="000000" w:sz="6" w:space="0"/>
              <w:bottom w:val="single" w:color="auto" w:sz="4" w:space="0"/>
              <w:right w:val="single" w:color="auto" w:sz="4" w:space="0"/>
            </w:tcBorders>
            <w:noWrap/>
            <w:vAlign w:val="center"/>
          </w:tcPr>
          <w:p>
            <w:pPr>
              <w:spacing w:line="400" w:lineRule="exact"/>
              <w:jc w:val="center"/>
              <w:rPr>
                <w:rFonts w:ascii="宋体"/>
                <w:b/>
                <w:szCs w:val="21"/>
              </w:rPr>
            </w:pPr>
          </w:p>
        </w:tc>
        <w:tc>
          <w:tcPr>
            <w:tcW w:w="705" w:type="dxa"/>
            <w:vMerge w:val="restart"/>
            <w:tcBorders>
              <w:top w:val="double" w:color="auto" w:sz="4" w:space="0"/>
              <w:left w:val="single" w:color="auto" w:sz="4" w:space="0"/>
              <w:right w:val="double" w:color="auto" w:sz="4" w:space="0"/>
            </w:tcBorders>
            <w:noWrap/>
            <w:vAlign w:val="center"/>
          </w:tcPr>
          <w:p>
            <w:pPr>
              <w:spacing w:line="400" w:lineRule="exact"/>
              <w:jc w:val="center"/>
              <w:rPr>
                <w:rFonts w:ascii="宋体"/>
                <w:b/>
                <w:szCs w:val="21"/>
              </w:rPr>
            </w:pPr>
          </w:p>
        </w:tc>
        <w:tc>
          <w:tcPr>
            <w:tcW w:w="1215" w:type="dxa"/>
            <w:vMerge w:val="restart"/>
            <w:tcBorders>
              <w:top w:val="double" w:color="auto" w:sz="4" w:space="0"/>
              <w:left w:val="single" w:color="000000" w:sz="6" w:space="0"/>
              <w:right w:val="double" w:color="auto" w:sz="4" w:space="0"/>
            </w:tcBorders>
            <w:noWrap/>
            <w:vAlign w:val="center"/>
          </w:tcPr>
          <w:p>
            <w:pPr>
              <w:adjustRightInd w:val="0"/>
              <w:snapToGrid w:val="0"/>
              <w:spacing w:line="400" w:lineRule="exact"/>
              <w:ind w:left="907" w:hanging="907"/>
              <w:jc w:val="center"/>
              <w:textAlignment w:val="center"/>
              <w:rPr>
                <w:rFonts w:ascii="宋体"/>
                <w:szCs w:val="21"/>
              </w:rPr>
            </w:pPr>
            <w:r>
              <w:rPr>
                <w:rFonts w:hint="eastAsia" w:ascii="宋体"/>
                <w:szCs w:val="21"/>
              </w:rPr>
              <w:t>医疗箱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jc w:val="center"/>
              <w:rPr>
                <w:rFonts w:ascii="宋体"/>
                <w:b/>
                <w:szCs w:val="21"/>
              </w:rPr>
            </w:pPr>
          </w:p>
        </w:tc>
        <w:tc>
          <w:tcPr>
            <w:tcW w:w="630" w:type="dxa"/>
            <w:tcBorders>
              <w:top w:val="single" w:color="000000" w:sz="6" w:space="0"/>
              <w:left w:val="single" w:color="000000" w:sz="6" w:space="0"/>
              <w:bottom w:val="single" w:color="000000" w:sz="6" w:space="0"/>
              <w:right w:val="single" w:color="auto" w:sz="4" w:space="0"/>
            </w:tcBorders>
            <w:noWrap/>
          </w:tcPr>
          <w:p>
            <w:pPr>
              <w:spacing w:line="400" w:lineRule="exact"/>
              <w:jc w:val="center"/>
              <w:rPr>
                <w:rFonts w:ascii="宋体"/>
                <w:b/>
                <w:szCs w:val="21"/>
              </w:rPr>
            </w:pPr>
          </w:p>
        </w:tc>
        <w:tc>
          <w:tcPr>
            <w:tcW w:w="111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335"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140" w:type="dxa"/>
            <w:tcBorders>
              <w:top w:val="single" w:color="000000" w:sz="6" w:space="0"/>
              <w:left w:val="single" w:color="auto" w:sz="4" w:space="0"/>
              <w:bottom w:val="single" w:color="000000" w:sz="6" w:space="0"/>
              <w:right w:val="single" w:color="000000" w:sz="6" w:space="0"/>
            </w:tcBorders>
            <w:noWrap/>
          </w:tcPr>
          <w:p>
            <w:pPr>
              <w:spacing w:line="400" w:lineRule="exact"/>
              <w:jc w:val="center"/>
              <w:rPr>
                <w:rFonts w:ascii="宋体"/>
                <w:b/>
                <w:szCs w:val="21"/>
              </w:rPr>
            </w:pP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400" w:lineRule="exact"/>
              <w:jc w:val="center"/>
              <w:rPr>
                <w:rFonts w:ascii="宋体"/>
                <w:b/>
                <w:szCs w:val="21"/>
              </w:rPr>
            </w:pPr>
          </w:p>
        </w:tc>
        <w:tc>
          <w:tcPr>
            <w:tcW w:w="705" w:type="dxa"/>
            <w:vMerge w:val="continue"/>
            <w:tcBorders>
              <w:left w:val="single" w:color="auto" w:sz="4" w:space="0"/>
              <w:right w:val="double" w:color="auto" w:sz="4" w:space="0"/>
            </w:tcBorders>
            <w:noWrap/>
            <w:vAlign w:val="center"/>
          </w:tcPr>
          <w:p>
            <w:pPr>
              <w:spacing w:line="400" w:lineRule="exact"/>
              <w:jc w:val="center"/>
              <w:rPr>
                <w:rFonts w:ascii="宋体"/>
                <w:b/>
                <w:szCs w:val="21"/>
              </w:rPr>
            </w:pPr>
          </w:p>
        </w:tc>
        <w:tc>
          <w:tcPr>
            <w:tcW w:w="1215" w:type="dxa"/>
            <w:vMerge w:val="continue"/>
            <w:tcBorders>
              <w:left w:val="single" w:color="000000" w:sz="6" w:space="0"/>
              <w:right w:val="double" w:color="auto" w:sz="4" w:space="0"/>
            </w:tcBorders>
            <w:noWrap/>
            <w:vAlign w:val="center"/>
          </w:tcPr>
          <w:p>
            <w:pPr>
              <w:adjustRightInd w:val="0"/>
              <w:snapToGrid w:val="0"/>
              <w:spacing w:line="400" w:lineRule="exact"/>
              <w:ind w:left="907" w:hanging="907"/>
              <w:textAlignment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1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jc w:val="center"/>
              <w:rPr>
                <w:rFonts w:ascii="宋体"/>
                <w:b/>
                <w:szCs w:val="21"/>
              </w:rPr>
            </w:pPr>
          </w:p>
        </w:tc>
        <w:tc>
          <w:tcPr>
            <w:tcW w:w="630" w:type="dxa"/>
            <w:tcBorders>
              <w:top w:val="single" w:color="000000" w:sz="6" w:space="0"/>
              <w:left w:val="single" w:color="000000" w:sz="6" w:space="0"/>
              <w:bottom w:val="single" w:color="000000" w:sz="6" w:space="0"/>
              <w:right w:val="single" w:color="auto" w:sz="4" w:space="0"/>
            </w:tcBorders>
            <w:noWrap/>
          </w:tcPr>
          <w:p>
            <w:pPr>
              <w:spacing w:line="400" w:lineRule="exact"/>
              <w:jc w:val="center"/>
              <w:rPr>
                <w:rFonts w:ascii="宋体"/>
                <w:b/>
                <w:szCs w:val="21"/>
              </w:rPr>
            </w:pPr>
          </w:p>
        </w:tc>
        <w:tc>
          <w:tcPr>
            <w:tcW w:w="111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335"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140" w:type="dxa"/>
            <w:tcBorders>
              <w:top w:val="single" w:color="000000" w:sz="6" w:space="0"/>
              <w:left w:val="single" w:color="auto" w:sz="4" w:space="0"/>
              <w:bottom w:val="single" w:color="000000" w:sz="6" w:space="0"/>
              <w:right w:val="single" w:color="000000" w:sz="6" w:space="0"/>
            </w:tcBorders>
            <w:noWrap/>
          </w:tcPr>
          <w:p>
            <w:pPr>
              <w:spacing w:line="400" w:lineRule="exact"/>
              <w:jc w:val="center"/>
              <w:rPr>
                <w:rFonts w:ascii="宋体"/>
                <w:b/>
                <w:szCs w:val="21"/>
              </w:rPr>
            </w:pP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400" w:lineRule="exact"/>
              <w:jc w:val="center"/>
              <w:rPr>
                <w:rFonts w:ascii="宋体"/>
                <w:b/>
                <w:szCs w:val="21"/>
              </w:rPr>
            </w:pPr>
          </w:p>
        </w:tc>
        <w:tc>
          <w:tcPr>
            <w:tcW w:w="705" w:type="dxa"/>
            <w:vMerge w:val="continue"/>
            <w:tcBorders>
              <w:left w:val="single" w:color="auto" w:sz="4" w:space="0"/>
              <w:right w:val="double" w:color="auto" w:sz="4" w:space="0"/>
            </w:tcBorders>
            <w:noWrap/>
            <w:vAlign w:val="center"/>
          </w:tcPr>
          <w:p>
            <w:pPr>
              <w:spacing w:line="400" w:lineRule="exact"/>
              <w:jc w:val="center"/>
              <w:rPr>
                <w:rFonts w:ascii="宋体"/>
                <w:b/>
                <w:szCs w:val="21"/>
              </w:rPr>
            </w:pPr>
          </w:p>
        </w:tc>
        <w:tc>
          <w:tcPr>
            <w:tcW w:w="1215" w:type="dxa"/>
            <w:vMerge w:val="continue"/>
            <w:tcBorders>
              <w:left w:val="single" w:color="000000" w:sz="6" w:space="0"/>
              <w:right w:val="double" w:color="auto" w:sz="4" w:space="0"/>
            </w:tcBorders>
            <w:noWrap/>
            <w:vAlign w:val="center"/>
          </w:tcPr>
          <w:p>
            <w:pPr>
              <w:adjustRightInd w:val="0"/>
              <w:snapToGrid w:val="0"/>
              <w:spacing w:line="400" w:lineRule="exact"/>
              <w:ind w:left="907" w:hanging="907"/>
              <w:textAlignment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rPr>
                <w:rFonts w:ascii="宋体"/>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110" w:type="dxa"/>
            <w:tcBorders>
              <w:top w:val="single" w:color="000000" w:sz="6" w:space="0"/>
              <w:left w:val="single" w:color="auto" w:sz="4"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335" w:type="dxa"/>
            <w:tcBorders>
              <w:top w:val="single" w:color="000000" w:sz="6" w:space="0"/>
              <w:left w:val="single" w:color="auto" w:sz="4"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140" w:type="dxa"/>
            <w:tcBorders>
              <w:top w:val="single" w:color="000000" w:sz="6" w:space="0"/>
              <w:left w:val="single" w:color="auto" w:sz="4" w:space="0"/>
              <w:bottom w:val="single" w:color="000000" w:sz="6" w:space="0"/>
              <w:right w:val="single" w:color="000000" w:sz="6" w:space="0"/>
            </w:tcBorders>
            <w:noWrap/>
          </w:tcPr>
          <w:p>
            <w:pPr>
              <w:adjustRightInd w:val="0"/>
              <w:snapToGrid w:val="0"/>
              <w:spacing w:line="400" w:lineRule="exact"/>
              <w:textAlignment w:val="center"/>
              <w:rPr>
                <w:rFonts w:ascii="宋体"/>
                <w:bCs/>
                <w:szCs w:val="21"/>
              </w:rPr>
            </w:pP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400" w:lineRule="exact"/>
              <w:rPr>
                <w:rFonts w:ascii="宋体"/>
                <w:szCs w:val="21"/>
              </w:rPr>
            </w:pPr>
          </w:p>
        </w:tc>
        <w:tc>
          <w:tcPr>
            <w:tcW w:w="705" w:type="dxa"/>
            <w:vMerge w:val="continue"/>
            <w:tcBorders>
              <w:left w:val="single" w:color="auto" w:sz="4" w:space="0"/>
              <w:bottom w:val="single" w:color="auto" w:sz="4"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bottom w:val="single" w:color="auto" w:sz="4"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1710" w:type="dxa"/>
            <w:gridSpan w:val="2"/>
            <w:tcBorders>
              <w:top w:val="single" w:color="000000" w:sz="6" w:space="0"/>
              <w:left w:val="double" w:color="auto" w:sz="4" w:space="0"/>
              <w:bottom w:val="single" w:color="000000" w:sz="6" w:space="0"/>
              <w:right w:val="double" w:color="auto" w:sz="4" w:space="0"/>
            </w:tcBorders>
            <w:noWrap/>
          </w:tcPr>
          <w:p>
            <w:pPr>
              <w:spacing w:line="400" w:lineRule="exact"/>
              <w:rPr>
                <w:rFonts w:ascii="宋体"/>
                <w:bCs/>
                <w:szCs w:val="21"/>
              </w:rPr>
            </w:pPr>
            <w:r>
              <w:rPr>
                <w:rFonts w:hint="eastAsia" w:ascii="宋体"/>
                <w:bCs/>
                <w:szCs w:val="21"/>
              </w:rPr>
              <w:t>投标总价（小写）：</w:t>
            </w:r>
          </w:p>
        </w:tc>
        <w:tc>
          <w:tcPr>
            <w:tcW w:w="6765" w:type="dxa"/>
            <w:gridSpan w:val="7"/>
            <w:tcBorders>
              <w:top w:val="single" w:color="000000" w:sz="6" w:space="0"/>
              <w:left w:val="double" w:color="auto" w:sz="4" w:space="0"/>
              <w:bottom w:val="single" w:color="000000" w:sz="6" w:space="0"/>
              <w:right w:val="double" w:color="auto" w:sz="4" w:space="0"/>
            </w:tcBorders>
            <w:noWrap/>
            <w:vAlign w:val="center"/>
          </w:tcPr>
          <w:p>
            <w:pPr>
              <w:spacing w:line="400" w:lineRule="exact"/>
              <w:rPr>
                <w:rFonts w:ascii="宋体"/>
                <w:szCs w:val="21"/>
              </w:rPr>
            </w:pPr>
          </w:p>
        </w:tc>
        <w:tc>
          <w:tcPr>
            <w:tcW w:w="1215" w:type="dxa"/>
            <w:tcBorders>
              <w:top w:val="single" w:color="000000" w:sz="6" w:space="0"/>
              <w:left w:val="double" w:color="auto" w:sz="4" w:space="0"/>
              <w:bottom w:val="single" w:color="000000" w:sz="6"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1710" w:type="dxa"/>
            <w:gridSpan w:val="2"/>
            <w:tcBorders>
              <w:top w:val="single" w:color="000000" w:sz="6" w:space="0"/>
              <w:left w:val="double" w:color="auto" w:sz="4" w:space="0"/>
              <w:bottom w:val="double" w:color="auto" w:sz="4" w:space="0"/>
              <w:right w:val="double" w:color="auto" w:sz="4" w:space="0"/>
            </w:tcBorders>
            <w:noWrap/>
          </w:tcPr>
          <w:p>
            <w:pPr>
              <w:spacing w:line="400" w:lineRule="exact"/>
              <w:rPr>
                <w:rFonts w:ascii="宋体"/>
                <w:szCs w:val="21"/>
              </w:rPr>
            </w:pPr>
            <w:r>
              <w:rPr>
                <w:rFonts w:hint="eastAsia" w:ascii="宋体"/>
                <w:szCs w:val="21"/>
              </w:rPr>
              <w:t>投标总价（大写）：</w:t>
            </w:r>
          </w:p>
        </w:tc>
        <w:tc>
          <w:tcPr>
            <w:tcW w:w="6765" w:type="dxa"/>
            <w:gridSpan w:val="7"/>
            <w:tcBorders>
              <w:top w:val="single" w:color="000000" w:sz="6" w:space="0"/>
              <w:left w:val="double" w:color="auto" w:sz="4" w:space="0"/>
              <w:bottom w:val="double" w:color="auto" w:sz="4" w:space="0"/>
              <w:right w:val="double" w:color="auto" w:sz="4" w:space="0"/>
            </w:tcBorders>
            <w:noWrap/>
            <w:vAlign w:val="center"/>
          </w:tcPr>
          <w:p>
            <w:pPr>
              <w:spacing w:line="400" w:lineRule="exact"/>
              <w:rPr>
                <w:rFonts w:ascii="宋体"/>
                <w:szCs w:val="21"/>
              </w:rPr>
            </w:pPr>
          </w:p>
        </w:tc>
        <w:tc>
          <w:tcPr>
            <w:tcW w:w="1215" w:type="dxa"/>
            <w:tcBorders>
              <w:top w:val="single" w:color="000000" w:sz="6" w:space="0"/>
              <w:left w:val="double" w:color="auto" w:sz="4" w:space="0"/>
              <w:bottom w:val="double" w:color="auto" w:sz="4" w:space="0"/>
              <w:right w:val="double" w:color="auto" w:sz="4" w:space="0"/>
            </w:tcBorders>
            <w:noWrap/>
            <w:vAlign w:val="center"/>
          </w:tcPr>
          <w:p>
            <w:pPr>
              <w:spacing w:line="400" w:lineRule="exact"/>
              <w:rPr>
                <w:rFonts w:ascii="宋体"/>
                <w:szCs w:val="21"/>
              </w:rPr>
            </w:pPr>
          </w:p>
        </w:tc>
      </w:tr>
    </w:tbl>
    <w:p>
      <w:pPr>
        <w:pStyle w:val="13"/>
      </w:pPr>
    </w:p>
    <w:p>
      <w:pPr>
        <w:adjustRightInd w:val="0"/>
        <w:snapToGrid w:val="0"/>
        <w:spacing w:before="50" w:line="400" w:lineRule="exact"/>
        <w:rPr>
          <w:rFonts w:ascii="宋体"/>
          <w:szCs w:val="21"/>
        </w:rPr>
      </w:pPr>
      <w:r>
        <w:rPr>
          <w:rFonts w:hint="eastAsia" w:ascii="宋体"/>
          <w:szCs w:val="21"/>
        </w:rPr>
        <w:t>供应商名称（单位章）：</w:t>
      </w:r>
    </w:p>
    <w:p>
      <w:pPr>
        <w:adjustRightInd w:val="0"/>
        <w:snapToGrid w:val="0"/>
        <w:spacing w:before="50" w:line="400" w:lineRule="exact"/>
        <w:rPr>
          <w:rFonts w:ascii="宋体"/>
          <w:szCs w:val="21"/>
        </w:rPr>
      </w:pPr>
      <w:r>
        <w:rPr>
          <w:rFonts w:hint="eastAsia" w:ascii="宋体"/>
          <w:szCs w:val="21"/>
        </w:rPr>
        <w:t>法定代表人或其授权的代理人(签字)：</w:t>
      </w:r>
    </w:p>
    <w:p>
      <w:pPr>
        <w:spacing w:line="400" w:lineRule="exact"/>
      </w:pPr>
      <w:r>
        <w:rPr>
          <w:rFonts w:hint="eastAsia" w:ascii="宋体"/>
          <w:szCs w:val="21"/>
        </w:rPr>
        <w:t>日期：   年   月   日</w:t>
      </w:r>
    </w:p>
    <w:p>
      <w:pPr>
        <w:adjustRightInd w:val="0"/>
        <w:snapToGrid w:val="0"/>
        <w:spacing w:line="400" w:lineRule="exact"/>
        <w:ind w:left="-88" w:leftChars="-42"/>
        <w:rPr>
          <w:rFonts w:ascii="宋体"/>
          <w:szCs w:val="21"/>
        </w:rPr>
      </w:pPr>
      <w:bookmarkStart w:id="220" w:name="_Toc4018"/>
      <w:r>
        <w:rPr>
          <w:rFonts w:hint="eastAsia" w:ascii="宋体"/>
          <w:b/>
          <w:szCs w:val="21"/>
        </w:rPr>
        <w:t>备注：</w:t>
      </w:r>
      <w:r>
        <w:rPr>
          <w:rFonts w:hint="eastAsia" w:ascii="宋体"/>
          <w:szCs w:val="21"/>
        </w:rPr>
        <w:t>（1）报价指完成供货、验收合格所需的各种费用及必要的保险费用和各项税金等所有费用的总和。包括但不限于：安装、随机零配件、标配工具、运输保险、质保期服务、各项税费等需要的一切费用及合同实施过程中不可预见费用。</w:t>
      </w:r>
    </w:p>
    <w:p>
      <w:pPr>
        <w:adjustRightInd w:val="0"/>
        <w:snapToGrid w:val="0"/>
        <w:spacing w:line="400" w:lineRule="exact"/>
        <w:ind w:left="-88" w:leftChars="-42"/>
        <w:rPr>
          <w:rFonts w:ascii="宋体"/>
          <w:szCs w:val="21"/>
        </w:rPr>
      </w:pPr>
      <w:r>
        <w:rPr>
          <w:rFonts w:hint="eastAsia" w:ascii="宋体"/>
          <w:szCs w:val="21"/>
        </w:rPr>
        <w:t>（2）单价应包括必不可少的部件、标准备件等费用。</w:t>
      </w:r>
    </w:p>
    <w:p>
      <w:pPr>
        <w:adjustRightInd w:val="0"/>
        <w:snapToGrid w:val="0"/>
        <w:spacing w:line="400" w:lineRule="exact"/>
        <w:ind w:left="-88" w:leftChars="-42"/>
        <w:rPr>
          <w:rFonts w:ascii="宋体"/>
          <w:szCs w:val="21"/>
        </w:rPr>
      </w:pPr>
      <w:r>
        <w:rPr>
          <w:rFonts w:hint="eastAsia" w:ascii="宋体"/>
          <w:szCs w:val="21"/>
        </w:rPr>
        <w:t>（3）如果单价与总价不符时，以单价为准，并修正总价。</w:t>
      </w:r>
    </w:p>
    <w:p>
      <w:pPr>
        <w:adjustRightInd w:val="0"/>
        <w:snapToGrid w:val="0"/>
        <w:spacing w:line="400" w:lineRule="exact"/>
        <w:ind w:left="-88" w:leftChars="-42"/>
        <w:rPr>
          <w:rFonts w:ascii="宋体"/>
          <w:szCs w:val="21"/>
        </w:rPr>
      </w:pPr>
      <w:r>
        <w:rPr>
          <w:rFonts w:hint="eastAsia" w:ascii="宋体"/>
          <w:szCs w:val="21"/>
        </w:rPr>
        <w:t>（4） 表格长度可根据需要自行调整，表中所列内容为必须填写项目，供应商可根据自身情况增加内容。</w:t>
      </w:r>
    </w:p>
    <w:p>
      <w:pPr>
        <w:adjustRightInd w:val="0"/>
        <w:snapToGrid w:val="0"/>
        <w:spacing w:line="400" w:lineRule="exact"/>
        <w:ind w:left="-88" w:leftChars="-42"/>
        <w:rPr>
          <w:rFonts w:ascii="宋体"/>
          <w:szCs w:val="21"/>
        </w:rPr>
      </w:pPr>
      <w:r>
        <w:rPr>
          <w:rFonts w:hint="eastAsia" w:ascii="宋体"/>
          <w:szCs w:val="21"/>
        </w:rPr>
        <w:t>（5）本表可用附表形式把需求一览表中所有产品生产厂商、规格型号、单价等内容进行详细说明。</w:t>
      </w:r>
    </w:p>
    <w:p>
      <w:pPr>
        <w:pStyle w:val="13"/>
        <w:rPr>
          <w:rFonts w:ascii="宋体"/>
          <w:kern w:val="2"/>
          <w:sz w:val="21"/>
          <w:szCs w:val="21"/>
        </w:rPr>
      </w:pPr>
    </w:p>
    <w:p>
      <w:pPr>
        <w:pStyle w:val="4"/>
        <w:spacing w:before="0" w:line="240" w:lineRule="atLeast"/>
        <w:ind w:left="0" w:firstLine="0"/>
        <w:rPr>
          <w:rFonts w:ascii="宋体" w:hAnsi="宋体" w:eastAsia="宋体"/>
          <w:sz w:val="24"/>
          <w:szCs w:val="24"/>
        </w:rPr>
      </w:pPr>
      <w:bookmarkStart w:id="221" w:name="_Toc19260_WPSOffice_Level3"/>
    </w:p>
    <w:p>
      <w:pPr>
        <w:pStyle w:val="4"/>
        <w:spacing w:before="0" w:line="240" w:lineRule="atLeast"/>
        <w:ind w:left="0" w:firstLine="0"/>
        <w:rPr>
          <w:rFonts w:ascii="宋体" w:hAnsi="宋体" w:eastAsia="宋体"/>
          <w:sz w:val="24"/>
          <w:szCs w:val="24"/>
        </w:rPr>
      </w:pPr>
    </w:p>
    <w:p>
      <w:pPr>
        <w:pStyle w:val="4"/>
        <w:spacing w:before="0" w:line="240" w:lineRule="atLeast"/>
        <w:ind w:left="0" w:firstLine="0"/>
        <w:rPr>
          <w:rFonts w:ascii="宋体" w:hAnsi="宋体" w:eastAsia="宋体"/>
          <w:sz w:val="24"/>
          <w:szCs w:val="24"/>
        </w:rPr>
      </w:pPr>
      <w:bookmarkStart w:id="222" w:name="_Toc84455583"/>
      <w:r>
        <w:rPr>
          <w:rFonts w:hint="eastAsia" w:ascii="宋体" w:hAnsi="宋体" w:eastAsia="宋体"/>
          <w:sz w:val="24"/>
          <w:szCs w:val="24"/>
        </w:rPr>
        <w:t>格式4：商务条款响应/偏离表</w:t>
      </w:r>
      <w:bookmarkEnd w:id="221"/>
      <w:bookmarkEnd w:id="222"/>
    </w:p>
    <w:p>
      <w:pPr>
        <w:spacing w:line="360" w:lineRule="auto"/>
        <w:jc w:val="center"/>
        <w:rPr>
          <w:rFonts w:ascii="宋体"/>
          <w:b/>
          <w:bCs/>
          <w:sz w:val="28"/>
          <w:szCs w:val="28"/>
        </w:rPr>
      </w:pPr>
      <w:r>
        <w:rPr>
          <w:rFonts w:hint="eastAsia" w:ascii="宋体"/>
          <w:b/>
          <w:bCs/>
          <w:sz w:val="28"/>
          <w:szCs w:val="28"/>
        </w:rPr>
        <w:t>商务条款响应/偏离表</w:t>
      </w:r>
    </w:p>
    <w:p>
      <w:pPr>
        <w:spacing w:line="240" w:lineRule="atLeast"/>
        <w:ind w:firstLine="480" w:firstLineChars="200"/>
        <w:rPr>
          <w:rFonts w:ascii="宋体" w:hAnsi="宋体"/>
          <w:sz w:val="24"/>
        </w:rPr>
      </w:pPr>
      <w:r>
        <w:rPr>
          <w:rFonts w:hint="eastAsia" w:ascii="宋体" w:hAnsi="宋体"/>
          <w:sz w:val="24"/>
        </w:rPr>
        <w:t>供应商应逐条对应谈判文件第五章“技术规格、参数与要求”中要求的商务条件，包括交货期、报价要求、付款方式、供货要求、质保期、履约保证金等内容，并根据实际投标情况如实填写本表格。</w:t>
      </w:r>
    </w:p>
    <w:p>
      <w:pPr>
        <w:spacing w:line="240" w:lineRule="atLeast"/>
        <w:ind w:firstLine="480" w:firstLineChars="200"/>
        <w:rPr>
          <w:rFonts w:ascii="宋体" w:hAnsi="宋体"/>
          <w:sz w:val="24"/>
        </w:rPr>
      </w:pPr>
      <w:r>
        <w:rPr>
          <w:rFonts w:hint="eastAsia" w:ascii="宋体" w:hAnsi="宋体"/>
          <w:sz w:val="24"/>
        </w:rPr>
        <w:t>★未填写本表格的供应商将不能通过初步评审。</w:t>
      </w:r>
    </w:p>
    <w:p>
      <w:pPr>
        <w:spacing w:line="360" w:lineRule="auto"/>
        <w:ind w:firstLine="560" w:firstLineChars="200"/>
        <w:rPr>
          <w:rFonts w:ascii="宋体"/>
          <w:sz w:val="28"/>
          <w:szCs w:val="28"/>
        </w:rPr>
      </w:pPr>
    </w:p>
    <w:p>
      <w:pPr>
        <w:spacing w:line="360" w:lineRule="auto"/>
        <w:rPr>
          <w:rFonts w:ascii="宋体"/>
          <w:u w:val="single"/>
        </w:rPr>
      </w:pPr>
      <w:r>
        <w:rPr>
          <w:rFonts w:hint="eastAsia" w:ascii="宋体"/>
        </w:rPr>
        <w:t>项目名称：                                          采购项目编号：</w:t>
      </w:r>
    </w:p>
    <w:tbl>
      <w:tblPr>
        <w:tblStyle w:val="3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2197"/>
        <w:gridCol w:w="1984"/>
        <w:gridCol w:w="1654"/>
        <w:gridCol w:w="1654"/>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87" w:type="dxa"/>
            <w:vAlign w:val="center"/>
          </w:tcPr>
          <w:p>
            <w:pPr>
              <w:jc w:val="center"/>
              <w:rPr>
                <w:rFonts w:ascii="宋体"/>
              </w:rPr>
            </w:pPr>
            <w:r>
              <w:rPr>
                <w:rFonts w:hint="eastAsia" w:ascii="宋体"/>
              </w:rPr>
              <w:t>序号</w:t>
            </w:r>
          </w:p>
        </w:tc>
        <w:tc>
          <w:tcPr>
            <w:tcW w:w="2197" w:type="dxa"/>
            <w:vAlign w:val="center"/>
          </w:tcPr>
          <w:p>
            <w:pPr>
              <w:jc w:val="center"/>
              <w:rPr>
                <w:rFonts w:ascii="宋体"/>
              </w:rPr>
            </w:pPr>
            <w:r>
              <w:rPr>
                <w:rFonts w:hint="eastAsia" w:ascii="宋体"/>
              </w:rPr>
              <w:t>谈判文件的商务条款要求</w:t>
            </w:r>
          </w:p>
        </w:tc>
        <w:tc>
          <w:tcPr>
            <w:tcW w:w="1984" w:type="dxa"/>
            <w:vAlign w:val="center"/>
          </w:tcPr>
          <w:p>
            <w:pPr>
              <w:jc w:val="center"/>
              <w:rPr>
                <w:rFonts w:ascii="宋体"/>
              </w:rPr>
            </w:pPr>
            <w:r>
              <w:rPr>
                <w:rFonts w:hint="eastAsia" w:ascii="宋体"/>
              </w:rPr>
              <w:t>响应文件的商务条款</w:t>
            </w:r>
          </w:p>
        </w:tc>
        <w:tc>
          <w:tcPr>
            <w:tcW w:w="1654" w:type="dxa"/>
            <w:vAlign w:val="center"/>
          </w:tcPr>
          <w:p>
            <w:pPr>
              <w:jc w:val="center"/>
              <w:rPr>
                <w:rFonts w:ascii="宋体"/>
              </w:rPr>
            </w:pPr>
            <w:r>
              <w:rPr>
                <w:rFonts w:hint="eastAsia" w:ascii="宋体"/>
              </w:rPr>
              <w:t>响应/偏离</w:t>
            </w:r>
          </w:p>
        </w:tc>
        <w:tc>
          <w:tcPr>
            <w:tcW w:w="1654" w:type="dxa"/>
            <w:vAlign w:val="center"/>
          </w:tcPr>
          <w:p>
            <w:pPr>
              <w:jc w:val="center"/>
              <w:rPr>
                <w:rFonts w:ascii="宋体"/>
              </w:rPr>
            </w:pPr>
            <w:r>
              <w:rPr>
                <w:rFonts w:hint="eastAsia" w:ascii="宋体"/>
              </w:rPr>
              <w:t>说明</w:t>
            </w:r>
          </w:p>
        </w:tc>
        <w:tc>
          <w:tcPr>
            <w:tcW w:w="1650" w:type="dxa"/>
            <w:vAlign w:val="center"/>
          </w:tcPr>
          <w:p>
            <w:pPr>
              <w:jc w:val="center"/>
              <w:rPr>
                <w:rFonts w:ascii="宋体"/>
              </w:rPr>
            </w:pPr>
            <w:r>
              <w:rPr>
                <w:rFonts w:hint="eastAsia" w:asci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87" w:type="dxa"/>
            <w:vAlign w:val="center"/>
          </w:tcPr>
          <w:p>
            <w:pPr>
              <w:jc w:val="center"/>
              <w:rPr>
                <w:rFonts w:ascii="宋体"/>
              </w:rPr>
            </w:pPr>
          </w:p>
        </w:tc>
        <w:tc>
          <w:tcPr>
            <w:tcW w:w="2197" w:type="dxa"/>
            <w:vAlign w:val="center"/>
          </w:tcPr>
          <w:p>
            <w:pPr>
              <w:jc w:val="center"/>
              <w:rPr>
                <w:rFonts w:ascii="宋体"/>
              </w:rPr>
            </w:pPr>
          </w:p>
        </w:tc>
        <w:tc>
          <w:tcPr>
            <w:tcW w:w="1984" w:type="dxa"/>
            <w:vAlign w:val="center"/>
          </w:tcPr>
          <w:p>
            <w:pPr>
              <w:jc w:val="center"/>
              <w:rPr>
                <w:rFonts w:ascii="宋体"/>
              </w:rPr>
            </w:pPr>
          </w:p>
        </w:tc>
        <w:tc>
          <w:tcPr>
            <w:tcW w:w="1654" w:type="dxa"/>
            <w:vAlign w:val="center"/>
          </w:tcPr>
          <w:p>
            <w:pPr>
              <w:jc w:val="center"/>
              <w:rPr>
                <w:rFonts w:ascii="宋体"/>
              </w:rPr>
            </w:pPr>
          </w:p>
        </w:tc>
        <w:tc>
          <w:tcPr>
            <w:tcW w:w="1654" w:type="dxa"/>
            <w:vAlign w:val="center"/>
          </w:tcPr>
          <w:p>
            <w:pPr>
              <w:jc w:val="center"/>
              <w:rPr>
                <w:rFonts w:ascii="宋体"/>
              </w:rPr>
            </w:pPr>
          </w:p>
        </w:tc>
        <w:tc>
          <w:tcPr>
            <w:tcW w:w="165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87" w:type="dxa"/>
            <w:vAlign w:val="center"/>
          </w:tcPr>
          <w:p>
            <w:pPr>
              <w:jc w:val="center"/>
              <w:rPr>
                <w:rFonts w:ascii="宋体"/>
              </w:rPr>
            </w:pPr>
          </w:p>
        </w:tc>
        <w:tc>
          <w:tcPr>
            <w:tcW w:w="2197" w:type="dxa"/>
            <w:vAlign w:val="center"/>
          </w:tcPr>
          <w:p>
            <w:pPr>
              <w:jc w:val="center"/>
              <w:rPr>
                <w:rFonts w:ascii="宋体"/>
              </w:rPr>
            </w:pPr>
          </w:p>
        </w:tc>
        <w:tc>
          <w:tcPr>
            <w:tcW w:w="1984" w:type="dxa"/>
            <w:vAlign w:val="center"/>
          </w:tcPr>
          <w:p>
            <w:pPr>
              <w:jc w:val="center"/>
              <w:rPr>
                <w:rFonts w:ascii="宋体"/>
              </w:rPr>
            </w:pPr>
          </w:p>
        </w:tc>
        <w:tc>
          <w:tcPr>
            <w:tcW w:w="1654" w:type="dxa"/>
            <w:vAlign w:val="center"/>
          </w:tcPr>
          <w:p>
            <w:pPr>
              <w:jc w:val="center"/>
              <w:rPr>
                <w:rFonts w:ascii="宋体"/>
              </w:rPr>
            </w:pPr>
          </w:p>
        </w:tc>
        <w:tc>
          <w:tcPr>
            <w:tcW w:w="1654" w:type="dxa"/>
            <w:vAlign w:val="center"/>
          </w:tcPr>
          <w:p>
            <w:pPr>
              <w:jc w:val="center"/>
              <w:rPr>
                <w:rFonts w:ascii="宋体"/>
              </w:rPr>
            </w:pPr>
          </w:p>
        </w:tc>
        <w:tc>
          <w:tcPr>
            <w:tcW w:w="165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87" w:type="dxa"/>
            <w:vAlign w:val="center"/>
          </w:tcPr>
          <w:p>
            <w:pPr>
              <w:jc w:val="center"/>
              <w:rPr>
                <w:rFonts w:ascii="宋体"/>
              </w:rPr>
            </w:pPr>
          </w:p>
        </w:tc>
        <w:tc>
          <w:tcPr>
            <w:tcW w:w="2197" w:type="dxa"/>
            <w:vAlign w:val="center"/>
          </w:tcPr>
          <w:p>
            <w:pPr>
              <w:jc w:val="center"/>
              <w:rPr>
                <w:rFonts w:ascii="宋体"/>
              </w:rPr>
            </w:pPr>
          </w:p>
        </w:tc>
        <w:tc>
          <w:tcPr>
            <w:tcW w:w="1984" w:type="dxa"/>
            <w:vAlign w:val="center"/>
          </w:tcPr>
          <w:p>
            <w:pPr>
              <w:jc w:val="center"/>
              <w:rPr>
                <w:rFonts w:ascii="宋体"/>
              </w:rPr>
            </w:pPr>
          </w:p>
        </w:tc>
        <w:tc>
          <w:tcPr>
            <w:tcW w:w="1654" w:type="dxa"/>
            <w:vAlign w:val="center"/>
          </w:tcPr>
          <w:p>
            <w:pPr>
              <w:jc w:val="center"/>
              <w:rPr>
                <w:rFonts w:ascii="宋体"/>
              </w:rPr>
            </w:pPr>
          </w:p>
        </w:tc>
        <w:tc>
          <w:tcPr>
            <w:tcW w:w="1654" w:type="dxa"/>
            <w:vAlign w:val="center"/>
          </w:tcPr>
          <w:p>
            <w:pPr>
              <w:jc w:val="center"/>
              <w:rPr>
                <w:rFonts w:ascii="宋体"/>
              </w:rPr>
            </w:pPr>
          </w:p>
        </w:tc>
        <w:tc>
          <w:tcPr>
            <w:tcW w:w="165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87" w:type="dxa"/>
            <w:vAlign w:val="center"/>
          </w:tcPr>
          <w:p>
            <w:pPr>
              <w:jc w:val="center"/>
              <w:rPr>
                <w:rFonts w:ascii="宋体"/>
              </w:rPr>
            </w:pPr>
          </w:p>
        </w:tc>
        <w:tc>
          <w:tcPr>
            <w:tcW w:w="2197" w:type="dxa"/>
            <w:vAlign w:val="center"/>
          </w:tcPr>
          <w:p>
            <w:pPr>
              <w:jc w:val="center"/>
              <w:rPr>
                <w:rFonts w:ascii="宋体"/>
              </w:rPr>
            </w:pPr>
          </w:p>
        </w:tc>
        <w:tc>
          <w:tcPr>
            <w:tcW w:w="1984" w:type="dxa"/>
            <w:vAlign w:val="center"/>
          </w:tcPr>
          <w:p>
            <w:pPr>
              <w:jc w:val="center"/>
              <w:rPr>
                <w:rFonts w:ascii="宋体"/>
              </w:rPr>
            </w:pPr>
          </w:p>
        </w:tc>
        <w:tc>
          <w:tcPr>
            <w:tcW w:w="1654" w:type="dxa"/>
            <w:vAlign w:val="center"/>
          </w:tcPr>
          <w:p>
            <w:pPr>
              <w:jc w:val="center"/>
              <w:rPr>
                <w:rFonts w:ascii="宋体"/>
              </w:rPr>
            </w:pPr>
          </w:p>
        </w:tc>
        <w:tc>
          <w:tcPr>
            <w:tcW w:w="1654" w:type="dxa"/>
            <w:vAlign w:val="center"/>
          </w:tcPr>
          <w:p>
            <w:pPr>
              <w:jc w:val="center"/>
              <w:rPr>
                <w:rFonts w:ascii="宋体"/>
              </w:rPr>
            </w:pPr>
          </w:p>
        </w:tc>
        <w:tc>
          <w:tcPr>
            <w:tcW w:w="1650" w:type="dxa"/>
            <w:vAlign w:val="center"/>
          </w:tcPr>
          <w:p>
            <w:pPr>
              <w:jc w:val="center"/>
              <w:rPr>
                <w:rFonts w:ascii="宋体"/>
              </w:rPr>
            </w:pPr>
          </w:p>
        </w:tc>
      </w:tr>
    </w:tbl>
    <w:p>
      <w:pPr>
        <w:spacing w:line="360" w:lineRule="auto"/>
        <w:ind w:firstLine="2" w:firstLineChars="1"/>
        <w:rPr>
          <w:rFonts w:ascii="宋体"/>
        </w:rPr>
      </w:pPr>
      <w:r>
        <w:rPr>
          <w:rFonts w:hint="eastAsia" w:ascii="宋体"/>
        </w:rPr>
        <w:t>供应商：（盖章）</w:t>
      </w:r>
    </w:p>
    <w:p>
      <w:pPr>
        <w:spacing w:line="360" w:lineRule="auto"/>
        <w:ind w:firstLine="2" w:firstLineChars="1"/>
        <w:rPr>
          <w:rFonts w:ascii="宋体"/>
        </w:rPr>
      </w:pPr>
      <w:r>
        <w:rPr>
          <w:rFonts w:hint="eastAsia" w:ascii="宋体"/>
        </w:rPr>
        <w:t>法定代表人或其委托代理人：（签字或盖章）</w:t>
      </w:r>
    </w:p>
    <w:p>
      <w:pPr>
        <w:spacing w:line="360" w:lineRule="auto"/>
        <w:ind w:firstLine="2" w:firstLineChars="1"/>
        <w:rPr>
          <w:rFonts w:ascii="宋体"/>
        </w:rPr>
      </w:pPr>
      <w:r>
        <w:rPr>
          <w:rFonts w:hint="eastAsia" w:ascii="宋体"/>
        </w:rPr>
        <w:t>年月日</w:t>
      </w:r>
    </w:p>
    <w:p>
      <w:pPr>
        <w:spacing w:line="240" w:lineRule="atLeast"/>
        <w:ind w:firstLine="480" w:firstLineChars="200"/>
        <w:rPr>
          <w:rFonts w:ascii="宋体" w:hAnsi="宋体"/>
          <w:sz w:val="24"/>
        </w:rPr>
      </w:pPr>
      <w:r>
        <w:rPr>
          <w:rFonts w:hint="eastAsia" w:ascii="宋体" w:hAnsi="宋体"/>
          <w:sz w:val="24"/>
        </w:rPr>
        <w:t>表格填写说明：</w:t>
      </w:r>
    </w:p>
    <w:p>
      <w:pPr>
        <w:spacing w:line="240" w:lineRule="atLeast"/>
        <w:ind w:firstLine="480" w:firstLineChars="200"/>
        <w:rPr>
          <w:rFonts w:ascii="宋体" w:hAnsi="宋体"/>
          <w:sz w:val="24"/>
        </w:rPr>
      </w:pPr>
      <w:r>
        <w:rPr>
          <w:rFonts w:hint="eastAsia" w:ascii="宋体" w:hAnsi="宋体"/>
          <w:sz w:val="24"/>
        </w:rPr>
        <w:t>1、供应商根据应根据实际投标情况，填写本表格，若无偏离，则写无偏离，签字盖章即可。若有偏离，则按表格要求及实际情况填写说明后，签字盖章。</w:t>
      </w:r>
    </w:p>
    <w:p>
      <w:pPr>
        <w:spacing w:line="240" w:lineRule="atLeast"/>
        <w:ind w:firstLine="480" w:firstLineChars="200"/>
        <w:rPr>
          <w:rFonts w:ascii="宋体" w:hAnsi="宋体"/>
          <w:sz w:val="24"/>
        </w:rPr>
      </w:pPr>
      <w:r>
        <w:rPr>
          <w:rFonts w:hint="eastAsia" w:ascii="宋体" w:hAnsi="宋体"/>
          <w:sz w:val="24"/>
        </w:rPr>
        <w:t>2、表格中“谈判文件的商务条款要求”在填写时应注明该条款在谈判文件的页码及条款号。</w:t>
      </w:r>
    </w:p>
    <w:p>
      <w:pPr>
        <w:spacing w:line="240" w:lineRule="atLeast"/>
        <w:ind w:firstLine="480" w:firstLineChars="200"/>
        <w:rPr>
          <w:rFonts w:ascii="宋体" w:hAnsi="宋体"/>
          <w:sz w:val="24"/>
        </w:rPr>
      </w:pPr>
      <w:r>
        <w:rPr>
          <w:rFonts w:hint="eastAsia" w:ascii="宋体" w:hAnsi="宋体"/>
          <w:sz w:val="24"/>
        </w:rPr>
        <w:t>3、表格中“响应文件的商务条款”请供应商根据实际投标情况如实、完整、准确的填写。</w:t>
      </w:r>
    </w:p>
    <w:p>
      <w:pPr>
        <w:spacing w:line="240" w:lineRule="atLeast"/>
        <w:ind w:firstLine="480" w:firstLineChars="200"/>
        <w:sectPr>
          <w:headerReference r:id="rId6" w:type="default"/>
          <w:footerReference r:id="rId7" w:type="default"/>
          <w:pgSz w:w="11906" w:h="16838"/>
          <w:pgMar w:top="1418" w:right="1134" w:bottom="1134" w:left="1417" w:header="936" w:footer="720" w:gutter="0"/>
          <w:cols w:space="720" w:num="1"/>
          <w:docGrid w:linePitch="331" w:charSpace="0"/>
        </w:sectPr>
      </w:pPr>
      <w:r>
        <w:rPr>
          <w:rFonts w:hint="eastAsia" w:ascii="宋体" w:hAnsi="宋体"/>
          <w:sz w:val="24"/>
        </w:rPr>
        <w:t>4、本表格中内容与响应文件其余部分不一致的，以本表格为准。</w:t>
      </w:r>
    </w:p>
    <w:bookmarkEnd w:id="220"/>
    <w:p>
      <w:bookmarkStart w:id="223" w:name="_Toc60996693"/>
      <w:bookmarkStart w:id="224" w:name="_Toc2384"/>
    </w:p>
    <w:p>
      <w:pPr>
        <w:pStyle w:val="4"/>
        <w:spacing w:before="0" w:line="240" w:lineRule="atLeast"/>
        <w:ind w:left="0" w:firstLine="0"/>
        <w:rPr>
          <w:rFonts w:ascii="宋体" w:hAnsi="宋体" w:eastAsia="宋体"/>
          <w:sz w:val="24"/>
          <w:szCs w:val="24"/>
        </w:rPr>
      </w:pPr>
      <w:bookmarkStart w:id="225" w:name="_Toc32013_WPSOffice_Level3"/>
      <w:bookmarkStart w:id="226" w:name="_Toc84455584"/>
      <w:r>
        <w:rPr>
          <w:rFonts w:hint="eastAsia" w:ascii="宋体" w:hAnsi="宋体" w:eastAsia="宋体"/>
          <w:sz w:val="24"/>
          <w:szCs w:val="24"/>
        </w:rPr>
        <w:t>格式5：投标人资格证明文件</w:t>
      </w:r>
      <w:bookmarkEnd w:id="223"/>
      <w:bookmarkEnd w:id="224"/>
      <w:bookmarkEnd w:id="225"/>
      <w:bookmarkEnd w:id="226"/>
      <w:bookmarkStart w:id="227" w:name="_Toc19385_WPSOffice_Level3"/>
    </w:p>
    <w:p>
      <w:pPr>
        <w:pStyle w:val="5"/>
        <w:spacing w:before="0"/>
        <w:ind w:left="210" w:leftChars="100" w:firstLine="0"/>
        <w:rPr>
          <w:rFonts w:asciiTheme="minorEastAsia" w:hAnsiTheme="minorEastAsia" w:eastAsiaTheme="minorEastAsia"/>
          <w:sz w:val="24"/>
          <w:szCs w:val="24"/>
        </w:rPr>
      </w:pPr>
      <w:bookmarkStart w:id="228" w:name="_Toc84455585"/>
      <w:r>
        <w:rPr>
          <w:rFonts w:hint="eastAsia" w:asciiTheme="minorEastAsia" w:hAnsiTheme="minorEastAsia" w:eastAsiaTheme="minorEastAsia"/>
          <w:sz w:val="24"/>
          <w:szCs w:val="24"/>
        </w:rPr>
        <w:t>格式5-1：营业执照及其他资质证书</w:t>
      </w:r>
      <w:bookmarkEnd w:id="227"/>
      <w:bookmarkEnd w:id="228"/>
    </w:p>
    <w:p>
      <w:pPr>
        <w:spacing w:line="360" w:lineRule="auto"/>
        <w:jc w:val="center"/>
        <w:rPr>
          <w:rFonts w:ascii="宋体"/>
          <w:b/>
          <w:bCs/>
          <w:sz w:val="28"/>
          <w:szCs w:val="28"/>
        </w:rPr>
      </w:pPr>
      <w:r>
        <w:rPr>
          <w:rFonts w:hint="eastAsia" w:ascii="宋体"/>
          <w:b/>
          <w:bCs/>
          <w:sz w:val="28"/>
          <w:szCs w:val="28"/>
        </w:rPr>
        <w:t>（一）营业执照</w:t>
      </w:r>
    </w:p>
    <w:p>
      <w:pPr>
        <w:spacing w:line="360" w:lineRule="auto"/>
        <w:jc w:val="center"/>
        <w:rPr>
          <w:rFonts w:ascii="宋体"/>
          <w:sz w:val="24"/>
        </w:rPr>
      </w:pPr>
    </w:p>
    <w:p>
      <w:pPr>
        <w:spacing w:line="360" w:lineRule="auto"/>
        <w:ind w:firstLine="990" w:firstLineChars="450"/>
        <w:rPr>
          <w:rFonts w:ascii="宋体" w:hAnsi="宋体"/>
          <w:sz w:val="24"/>
        </w:rPr>
      </w:pPr>
      <w:r>
        <w:rPr>
          <w:rFonts w:hint="eastAsia" w:ascii="宋体"/>
          <w:sz w:val="22"/>
        </w:rPr>
        <w:t>供应商</w:t>
      </w:r>
      <w:r>
        <w:rPr>
          <w:rFonts w:hint="eastAsia" w:ascii="宋体" w:hAnsi="宋体"/>
          <w:sz w:val="24"/>
        </w:rPr>
        <w:t>有效的营业执照副本内页：要求清晰反映企业法人经营范围。</w:t>
      </w:r>
    </w:p>
    <w:p>
      <w:pPr>
        <w:pStyle w:val="17"/>
        <w:spacing w:line="360" w:lineRule="auto"/>
        <w:ind w:left="420"/>
        <w:jc w:val="center"/>
        <w:rPr>
          <w:sz w:val="24"/>
          <w:szCs w:val="24"/>
        </w:rPr>
      </w:pPr>
    </w:p>
    <w:p>
      <w:pPr>
        <w:pStyle w:val="17"/>
        <w:spacing w:line="360" w:lineRule="auto"/>
        <w:ind w:left="420"/>
        <w:jc w:val="center"/>
        <w:rPr>
          <w:sz w:val="24"/>
          <w:szCs w:val="24"/>
        </w:rPr>
      </w:pPr>
    </w:p>
    <w:p>
      <w:pPr>
        <w:pStyle w:val="17"/>
        <w:spacing w:line="360" w:lineRule="auto"/>
        <w:ind w:left="420"/>
        <w:jc w:val="center"/>
        <w:rPr>
          <w:sz w:val="24"/>
          <w:szCs w:val="24"/>
        </w:rPr>
      </w:pPr>
    </w:p>
    <w:p>
      <w:pPr>
        <w:pStyle w:val="17"/>
        <w:spacing w:line="360" w:lineRule="auto"/>
        <w:ind w:left="420"/>
        <w:jc w:val="center"/>
        <w:rPr>
          <w:sz w:val="24"/>
          <w:szCs w:val="24"/>
        </w:rPr>
      </w:pPr>
    </w:p>
    <w:p>
      <w:pPr>
        <w:spacing w:line="360" w:lineRule="auto"/>
        <w:jc w:val="center"/>
        <w:rPr>
          <w:rFonts w:ascii="宋体"/>
          <w:b/>
          <w:bCs/>
          <w:sz w:val="28"/>
          <w:szCs w:val="28"/>
        </w:rPr>
      </w:pPr>
      <w:r>
        <w:rPr>
          <w:rFonts w:hint="eastAsia" w:ascii="宋体"/>
          <w:b/>
          <w:bCs/>
          <w:sz w:val="28"/>
          <w:szCs w:val="28"/>
        </w:rPr>
        <w:t>（二）本项目所要求的资格、资质证书</w:t>
      </w:r>
    </w:p>
    <w:p>
      <w:pPr>
        <w:pStyle w:val="17"/>
        <w:spacing w:line="360" w:lineRule="auto"/>
        <w:ind w:left="420"/>
        <w:jc w:val="center"/>
      </w:pPr>
      <w:bookmarkStart w:id="229" w:name="_Toc21387_WPSOffice_Level3"/>
      <w:r>
        <w:rPr>
          <w:rFonts w:hint="eastAsia"/>
        </w:rPr>
        <w:t>（如有）</w:t>
      </w:r>
      <w:bookmarkEnd w:id="229"/>
    </w:p>
    <w:p>
      <w:pPr>
        <w:pStyle w:val="5"/>
        <w:rPr>
          <w:rFonts w:ascii="宋体" w:hAnsi="宋体"/>
          <w:sz w:val="24"/>
          <w:szCs w:val="24"/>
        </w:rPr>
      </w:pPr>
      <w:bookmarkStart w:id="230" w:name="_Toc2435_WPSOffice_Level3"/>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spacing w:before="0"/>
        <w:ind w:left="210" w:leftChars="100" w:firstLine="0"/>
        <w:rPr>
          <w:rFonts w:asciiTheme="minorEastAsia" w:hAnsiTheme="minorEastAsia" w:eastAsiaTheme="minorEastAsia"/>
          <w:sz w:val="24"/>
          <w:szCs w:val="24"/>
        </w:rPr>
      </w:pPr>
      <w:bookmarkStart w:id="231" w:name="_Toc84455586"/>
      <w:r>
        <w:rPr>
          <w:rFonts w:hint="eastAsia" w:asciiTheme="minorEastAsia" w:hAnsiTheme="minorEastAsia" w:eastAsiaTheme="minorEastAsia"/>
          <w:sz w:val="24"/>
          <w:szCs w:val="24"/>
        </w:rPr>
        <w:t>格式5</w:t>
      </w:r>
      <w:r>
        <w:rPr>
          <w:rFonts w:asciiTheme="minorEastAsia" w:hAnsiTheme="minorEastAsia" w:eastAsiaTheme="minorEastAsia"/>
          <w:sz w:val="24"/>
          <w:szCs w:val="24"/>
        </w:rPr>
        <w:t>-2</w:t>
      </w:r>
      <w:r>
        <w:rPr>
          <w:rFonts w:hint="eastAsia" w:asciiTheme="minorEastAsia" w:hAnsiTheme="minorEastAsia" w:eastAsiaTheme="minorEastAsia"/>
          <w:sz w:val="24"/>
          <w:szCs w:val="24"/>
        </w:rPr>
        <w:t>：法定代表人资格证明书</w:t>
      </w:r>
      <w:bookmarkEnd w:id="230"/>
      <w:bookmarkEnd w:id="231"/>
    </w:p>
    <w:p>
      <w:pPr>
        <w:spacing w:line="360" w:lineRule="auto"/>
        <w:jc w:val="center"/>
        <w:rPr>
          <w:rFonts w:ascii="宋体"/>
          <w:b/>
          <w:bCs/>
          <w:sz w:val="28"/>
          <w:szCs w:val="28"/>
        </w:rPr>
      </w:pPr>
      <w:r>
        <w:rPr>
          <w:rFonts w:hint="eastAsia" w:ascii="宋体"/>
          <w:b/>
          <w:bCs/>
          <w:sz w:val="28"/>
          <w:szCs w:val="28"/>
        </w:rPr>
        <w:t>法定代表人资格证明书</w:t>
      </w:r>
    </w:p>
    <w:p>
      <w:pPr>
        <w:spacing w:line="360" w:lineRule="auto"/>
        <w:jc w:val="center"/>
        <w:rPr>
          <w:rFonts w:ascii="宋体"/>
          <w:b/>
          <w:sz w:val="30"/>
          <w:szCs w:val="30"/>
        </w:rPr>
      </w:pPr>
    </w:p>
    <w:p>
      <w:pPr>
        <w:spacing w:line="360" w:lineRule="auto"/>
        <w:rPr>
          <w:rFonts w:ascii="宋体"/>
          <w:szCs w:val="21"/>
          <w:u w:val="single"/>
        </w:rPr>
      </w:pPr>
      <w:r>
        <w:rPr>
          <w:rFonts w:hint="eastAsia" w:ascii="宋体"/>
          <w:szCs w:val="21"/>
        </w:rPr>
        <w:t>供应商全称：</w:t>
      </w:r>
    </w:p>
    <w:p>
      <w:pPr>
        <w:spacing w:line="360" w:lineRule="auto"/>
        <w:rPr>
          <w:rFonts w:ascii="宋体"/>
          <w:szCs w:val="21"/>
          <w:u w:val="single"/>
        </w:rPr>
      </w:pPr>
      <w:r>
        <w:rPr>
          <w:rFonts w:hint="eastAsia" w:ascii="宋体"/>
          <w:szCs w:val="21"/>
        </w:rPr>
        <w:t>单位性质：</w:t>
      </w:r>
    </w:p>
    <w:p>
      <w:pPr>
        <w:spacing w:line="360" w:lineRule="auto"/>
        <w:rPr>
          <w:rFonts w:ascii="宋体"/>
          <w:szCs w:val="21"/>
        </w:rPr>
      </w:pPr>
      <w:r>
        <w:rPr>
          <w:rFonts w:hint="eastAsia" w:ascii="宋体"/>
          <w:szCs w:val="21"/>
        </w:rPr>
        <w:t>成立时间：年月日</w:t>
      </w:r>
    </w:p>
    <w:p>
      <w:pPr>
        <w:spacing w:line="360" w:lineRule="auto"/>
        <w:rPr>
          <w:rFonts w:ascii="宋体"/>
          <w:szCs w:val="21"/>
          <w:u w:val="single"/>
        </w:rPr>
      </w:pPr>
      <w:r>
        <w:rPr>
          <w:rFonts w:hint="eastAsia" w:ascii="宋体"/>
          <w:szCs w:val="21"/>
        </w:rPr>
        <w:t>经营期限：</w:t>
      </w:r>
    </w:p>
    <w:p>
      <w:pPr>
        <w:spacing w:line="360" w:lineRule="auto"/>
        <w:rPr>
          <w:rFonts w:ascii="宋体"/>
          <w:szCs w:val="21"/>
          <w:u w:val="single"/>
        </w:rPr>
      </w:pPr>
      <w:r>
        <w:rPr>
          <w:rFonts w:hint="eastAsia" w:ascii="宋体"/>
          <w:szCs w:val="21"/>
        </w:rPr>
        <w:t>姓名：性别：年龄：职务：</w:t>
      </w:r>
    </w:p>
    <w:p>
      <w:pPr>
        <w:spacing w:line="360" w:lineRule="auto"/>
        <w:rPr>
          <w:rFonts w:ascii="宋体"/>
          <w:szCs w:val="21"/>
        </w:rPr>
      </w:pPr>
      <w:r>
        <w:rPr>
          <w:rFonts w:hint="eastAsia" w:ascii="宋体"/>
          <w:szCs w:val="21"/>
        </w:rPr>
        <w:t>系</w:t>
      </w:r>
      <w:r>
        <w:rPr>
          <w:rFonts w:hint="eastAsia" w:ascii="宋体"/>
          <w:szCs w:val="21"/>
          <w:u w:val="single"/>
        </w:rPr>
        <w:t>（供应商全称）</w:t>
      </w:r>
      <w:r>
        <w:rPr>
          <w:rFonts w:hint="eastAsia" w:ascii="宋体"/>
          <w:szCs w:val="21"/>
        </w:rPr>
        <w:t>的法定代表人。</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szCs w:val="21"/>
        </w:rPr>
        <w:t>特此证明。</w:t>
      </w:r>
    </w:p>
    <w:tbl>
      <w:tblPr>
        <w:tblStyle w:val="37"/>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noWrap/>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法定代表人身份证复印件</w:t>
            </w:r>
          </w:p>
        </w:tc>
      </w:tr>
    </w:tbl>
    <w:p>
      <w:pPr>
        <w:spacing w:line="360" w:lineRule="auto"/>
        <w:rPr>
          <w:rFonts w:ascii="宋体"/>
          <w:szCs w:val="21"/>
        </w:rPr>
      </w:pPr>
      <w:r>
        <w:rPr>
          <w:rFonts w:hint="eastAsia" w:ascii="宋体"/>
          <w:szCs w:val="21"/>
        </w:rPr>
        <w:t>法定代表人身份证复印件（正、反面）</w:t>
      </w:r>
    </w:p>
    <w:p>
      <w:pPr>
        <w:spacing w:line="360" w:lineRule="auto"/>
        <w:rPr>
          <w:rFonts w:ascii="宋体"/>
          <w:szCs w:val="21"/>
        </w:rPr>
      </w:pPr>
    </w:p>
    <w:p>
      <w:pPr>
        <w:spacing w:line="360" w:lineRule="auto"/>
        <w:ind w:left="3780" w:leftChars="1800"/>
        <w:rPr>
          <w:rFonts w:ascii="宋体"/>
          <w:szCs w:val="21"/>
        </w:rPr>
      </w:pPr>
      <w:r>
        <w:rPr>
          <w:rFonts w:hint="eastAsia" w:ascii="宋体"/>
          <w:szCs w:val="21"/>
        </w:rPr>
        <w:t>供应商：（盖单位公章）</w:t>
      </w:r>
    </w:p>
    <w:p>
      <w:pPr>
        <w:spacing w:line="360" w:lineRule="auto"/>
        <w:ind w:left="3780" w:leftChars="1800"/>
        <w:rPr>
          <w:rFonts w:ascii="宋体"/>
          <w:szCs w:val="21"/>
        </w:rPr>
      </w:pPr>
    </w:p>
    <w:p>
      <w:pPr>
        <w:spacing w:line="360" w:lineRule="auto"/>
        <w:ind w:left="3780" w:leftChars="1800" w:firstLine="1155" w:firstLineChars="550"/>
        <w:rPr>
          <w:rFonts w:ascii="宋体"/>
          <w:szCs w:val="21"/>
        </w:rPr>
      </w:pPr>
      <w:r>
        <w:rPr>
          <w:rFonts w:hint="eastAsia" w:ascii="宋体"/>
          <w:szCs w:val="21"/>
        </w:rPr>
        <w:t>年   月    日</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pStyle w:val="5"/>
        <w:spacing w:before="0"/>
        <w:ind w:left="210" w:leftChars="100" w:firstLine="0"/>
        <w:rPr>
          <w:rFonts w:asciiTheme="minorEastAsia" w:hAnsiTheme="minorEastAsia" w:eastAsiaTheme="minorEastAsia"/>
          <w:sz w:val="24"/>
          <w:szCs w:val="24"/>
        </w:rPr>
      </w:pPr>
      <w:r>
        <w:rPr>
          <w:b w:val="0"/>
          <w:szCs w:val="21"/>
        </w:rPr>
        <w:br w:type="page"/>
      </w:r>
      <w:bookmarkStart w:id="232" w:name="_Toc17533_WPSOffice_Level3"/>
      <w:r>
        <w:rPr>
          <w:rFonts w:hint="eastAsia" w:ascii="宋体" w:hAnsi="宋体"/>
          <w:sz w:val="24"/>
          <w:szCs w:val="24"/>
        </w:rPr>
        <w:t xml:space="preserve">  </w:t>
      </w:r>
      <w:r>
        <w:rPr>
          <w:rFonts w:hint="eastAsia" w:asciiTheme="minorEastAsia" w:hAnsiTheme="minorEastAsia" w:eastAsiaTheme="minorEastAsia"/>
          <w:sz w:val="24"/>
          <w:szCs w:val="24"/>
        </w:rPr>
        <w:t xml:space="preserve"> </w:t>
      </w:r>
      <w:bookmarkStart w:id="233" w:name="_Toc84455587"/>
      <w:r>
        <w:rPr>
          <w:rFonts w:hint="eastAsia" w:asciiTheme="minorEastAsia" w:hAnsiTheme="minorEastAsia" w:eastAsiaTheme="minorEastAsia"/>
          <w:sz w:val="24"/>
          <w:szCs w:val="24"/>
        </w:rPr>
        <w:t>格式5</w:t>
      </w:r>
      <w:r>
        <w:rPr>
          <w:rFonts w:asciiTheme="minorEastAsia" w:hAnsiTheme="minorEastAsia" w:eastAsiaTheme="minorEastAsia"/>
          <w:sz w:val="24"/>
          <w:szCs w:val="24"/>
        </w:rPr>
        <w:t>-3</w:t>
      </w:r>
      <w:r>
        <w:rPr>
          <w:rFonts w:hint="eastAsia" w:asciiTheme="minorEastAsia" w:hAnsiTheme="minorEastAsia" w:eastAsiaTheme="minorEastAsia"/>
          <w:sz w:val="24"/>
          <w:szCs w:val="24"/>
        </w:rPr>
        <w:t>：法定代表人授权委托书</w:t>
      </w:r>
      <w:bookmarkEnd w:id="232"/>
      <w:bookmarkEnd w:id="233"/>
    </w:p>
    <w:p>
      <w:pPr>
        <w:spacing w:line="360" w:lineRule="auto"/>
        <w:jc w:val="center"/>
        <w:rPr>
          <w:rFonts w:ascii="宋体"/>
          <w:b/>
          <w:bCs/>
          <w:sz w:val="28"/>
          <w:szCs w:val="28"/>
        </w:rPr>
      </w:pPr>
      <w:r>
        <w:rPr>
          <w:rFonts w:hint="eastAsia" w:ascii="宋体"/>
          <w:b/>
          <w:bCs/>
          <w:sz w:val="28"/>
          <w:szCs w:val="28"/>
        </w:rPr>
        <w:t>法定代表人授权委托书</w:t>
      </w:r>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（姓名、职务）为我方代理人。代理人根据授权，以我方名义签署、澄清、说明、补正、递交、撤回、修改</w:t>
      </w:r>
      <w:r>
        <w:rPr>
          <w:rFonts w:hint="eastAsia" w:ascii="宋体" w:hAnsi="宋体" w:cs="宋体"/>
          <w:kern w:val="0"/>
          <w:szCs w:val="21"/>
          <w:u w:val="single"/>
        </w:rPr>
        <w:t xml:space="preserve">   </w:t>
      </w:r>
      <w:r>
        <w:rPr>
          <w:rFonts w:hint="eastAsia" w:ascii="宋体" w:hAnsi="宋体" w:cs="宋体"/>
          <w:kern w:val="0"/>
          <w:szCs w:val="21"/>
        </w:rPr>
        <w:t>项目名称、政府采购编号）谈判文件、签订合同和处理有关事宜，其法律后果由我方承担。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pPr>
        <w:adjustRightInd w:val="0"/>
        <w:snapToGrid w:val="0"/>
        <w:spacing w:before="156" w:beforeLines="50" w:line="360" w:lineRule="auto"/>
        <w:ind w:firstLine="435"/>
        <w:rPr>
          <w:rFonts w:ascii="宋体" w:hAnsi="宋体" w:cs="宋体"/>
          <w:kern w:val="0"/>
          <w:szCs w:val="21"/>
        </w:rPr>
      </w:pPr>
      <w:r>
        <w:rPr>
          <w:rFonts w:hint="eastAsia" w:ascii="宋体" w:hAnsi="宋体" w:cs="宋体"/>
          <w:kern w:val="0"/>
          <w:szCs w:val="21"/>
        </w:rPr>
        <w:t>代理人无转委托权。</w:t>
      </w:r>
    </w:p>
    <w:p>
      <w:pPr>
        <w:adjustRightInd w:val="0"/>
        <w:snapToGrid w:val="0"/>
        <w:spacing w:before="156" w:beforeLines="50"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ascii="宋体" w:hAnsi="宋体"/>
          <w:szCs w:val="21"/>
        </w:rPr>
      </w:pPr>
    </w:p>
    <w:tbl>
      <w:tblPr>
        <w:tblStyle w:val="37"/>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noWrap/>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委托代理人身份证复印件</w:t>
            </w:r>
          </w:p>
        </w:tc>
      </w:tr>
    </w:tbl>
    <w:p>
      <w:pPr>
        <w:adjustRightInd w:val="0"/>
        <w:snapToGrid w:val="0"/>
        <w:spacing w:before="156" w:beforeLines="50" w:line="360" w:lineRule="auto"/>
        <w:ind w:firstLine="420" w:firstLineChars="200"/>
        <w:rPr>
          <w:rFonts w:ascii="宋体" w:hAnsi="宋体"/>
          <w:szCs w:val="21"/>
        </w:rPr>
      </w:pPr>
    </w:p>
    <w:p>
      <w:pPr>
        <w:adjustRightInd w:val="0"/>
        <w:snapToGrid w:val="0"/>
        <w:spacing w:before="156" w:beforeLines="50" w:line="360" w:lineRule="auto"/>
        <w:rPr>
          <w:rFonts w:ascii="宋体" w:hAnsi="宋体"/>
          <w:szCs w:val="21"/>
        </w:rPr>
      </w:pPr>
      <w:r>
        <w:rPr>
          <w:rFonts w:hint="eastAsia" w:ascii="宋体" w:hAnsi="宋体"/>
          <w:szCs w:val="21"/>
        </w:rPr>
        <w:t>供应商名称（单位章）：</w:t>
      </w:r>
    </w:p>
    <w:p>
      <w:pPr>
        <w:adjustRightInd w:val="0"/>
        <w:snapToGrid w:val="0"/>
        <w:spacing w:before="156" w:beforeLines="50" w:line="360" w:lineRule="auto"/>
        <w:ind w:right="420"/>
        <w:rPr>
          <w:rFonts w:ascii="宋体" w:hAnsi="宋体"/>
          <w:szCs w:val="21"/>
        </w:rPr>
      </w:pPr>
      <w:r>
        <w:rPr>
          <w:rFonts w:hint="eastAsia" w:ascii="宋体" w:hAnsi="宋体"/>
          <w:szCs w:val="21"/>
        </w:rPr>
        <w:t>法定代表人（签字）：</w:t>
      </w:r>
    </w:p>
    <w:p>
      <w:pPr>
        <w:adjustRightInd w:val="0"/>
        <w:snapToGrid w:val="0"/>
        <w:spacing w:before="156" w:beforeLines="50" w:line="360" w:lineRule="auto"/>
        <w:ind w:right="420"/>
        <w:rPr>
          <w:rFonts w:ascii="宋体"/>
          <w:szCs w:val="21"/>
        </w:rPr>
      </w:pPr>
      <w:r>
        <w:rPr>
          <w:rFonts w:hint="eastAsia" w:ascii="宋体"/>
          <w:szCs w:val="21"/>
        </w:rPr>
        <w:t>身份证号码：</w:t>
      </w:r>
    </w:p>
    <w:p>
      <w:pPr>
        <w:adjustRightInd w:val="0"/>
        <w:snapToGrid w:val="0"/>
        <w:spacing w:before="156" w:beforeLines="50" w:line="360" w:lineRule="auto"/>
        <w:ind w:right="420"/>
        <w:rPr>
          <w:rFonts w:ascii="宋体" w:hAnsi="宋体"/>
          <w:szCs w:val="21"/>
        </w:rPr>
      </w:pPr>
      <w:r>
        <w:rPr>
          <w:rFonts w:hint="eastAsia" w:ascii="宋体"/>
          <w:szCs w:val="21"/>
        </w:rPr>
        <w:t>联系电话：</w:t>
      </w:r>
    </w:p>
    <w:p>
      <w:pPr>
        <w:adjustRightInd w:val="0"/>
        <w:snapToGrid w:val="0"/>
        <w:spacing w:before="156" w:beforeLines="50" w:line="360" w:lineRule="auto"/>
        <w:ind w:right="420"/>
        <w:rPr>
          <w:rFonts w:ascii="宋体" w:hAnsi="宋体"/>
          <w:szCs w:val="21"/>
          <w:u w:val="single"/>
        </w:rPr>
      </w:pPr>
      <w:r>
        <w:rPr>
          <w:rFonts w:hint="eastAsia" w:ascii="宋体" w:hAnsi="宋体"/>
          <w:szCs w:val="21"/>
        </w:rPr>
        <w:t>委托代理人（签字）：</w:t>
      </w:r>
    </w:p>
    <w:p>
      <w:pPr>
        <w:adjustRightInd w:val="0"/>
        <w:snapToGrid w:val="0"/>
        <w:spacing w:before="156" w:beforeLines="50" w:line="360" w:lineRule="auto"/>
        <w:ind w:right="420"/>
        <w:rPr>
          <w:rFonts w:ascii="宋体" w:hAnsi="宋体"/>
          <w:szCs w:val="21"/>
        </w:rPr>
      </w:pPr>
      <w:r>
        <w:rPr>
          <w:rFonts w:hint="eastAsia" w:ascii="宋体" w:hAnsi="宋体"/>
          <w:szCs w:val="21"/>
        </w:rPr>
        <w:t>职务：</w:t>
      </w:r>
    </w:p>
    <w:p>
      <w:pPr>
        <w:adjustRightInd w:val="0"/>
        <w:snapToGrid w:val="0"/>
        <w:spacing w:before="156" w:beforeLines="50" w:line="360" w:lineRule="auto"/>
        <w:ind w:right="420"/>
        <w:rPr>
          <w:rFonts w:ascii="宋体" w:hAnsi="宋体"/>
          <w:szCs w:val="21"/>
        </w:rPr>
      </w:pPr>
      <w:r>
        <w:rPr>
          <w:rFonts w:hint="eastAsia" w:ascii="宋体"/>
          <w:szCs w:val="21"/>
        </w:rPr>
        <w:t>身份证号码：</w:t>
      </w:r>
    </w:p>
    <w:p>
      <w:pPr>
        <w:pStyle w:val="13"/>
        <w:rPr>
          <w:rFonts w:ascii="宋体" w:hAnsi="宋体"/>
          <w:szCs w:val="21"/>
        </w:rPr>
      </w:pPr>
      <w:r>
        <w:rPr>
          <w:rFonts w:hint="eastAsia" w:ascii="宋体" w:hAnsi="宋体"/>
          <w:szCs w:val="21"/>
        </w:rPr>
        <w:t>联系电话：</w:t>
      </w:r>
    </w:p>
    <w:p>
      <w:pPr>
        <w:pStyle w:val="13"/>
        <w:rPr>
          <w:rFonts w:ascii="宋体" w:hAnsi="宋体"/>
          <w:szCs w:val="21"/>
        </w:rPr>
      </w:pPr>
    </w:p>
    <w:p>
      <w:pPr>
        <w:adjustRightInd w:val="0"/>
        <w:snapToGrid w:val="0"/>
        <w:spacing w:before="156" w:beforeLines="50" w:line="360" w:lineRule="auto"/>
        <w:ind w:right="420"/>
        <w:rPr>
          <w:rFonts w:ascii="宋体" w:hAnsi="宋体"/>
          <w:szCs w:val="21"/>
        </w:rPr>
      </w:pPr>
      <w:r>
        <w:rPr>
          <w:rFonts w:hint="eastAsia"/>
          <w:szCs w:val="21"/>
        </w:rPr>
        <w:t>委托代理人详细地址</w:t>
      </w:r>
      <w:r>
        <w:rPr>
          <w:rFonts w:hint="eastAsia" w:ascii="宋体"/>
          <w:szCs w:val="21"/>
        </w:rPr>
        <w:t>：</w:t>
      </w:r>
    </w:p>
    <w:p>
      <w:pPr>
        <w:adjustRightInd w:val="0"/>
        <w:snapToGrid w:val="0"/>
        <w:spacing w:before="156" w:beforeLines="50" w:line="360" w:lineRule="auto"/>
        <w:ind w:right="420"/>
        <w:rPr>
          <w:rFonts w:ascii="宋体" w:hAnsi="宋体"/>
          <w:szCs w:val="21"/>
        </w:rPr>
      </w:pPr>
      <w:r>
        <w:rPr>
          <w:rFonts w:hint="eastAsia" w:ascii="宋体" w:hAnsi="宋体"/>
          <w:szCs w:val="21"/>
        </w:rPr>
        <w:t xml:space="preserve"> 年   月  日</w:t>
      </w:r>
    </w:p>
    <w:p>
      <w:pPr>
        <w:pStyle w:val="17"/>
        <w:spacing w:line="360" w:lineRule="auto"/>
        <w:outlineLvl w:val="2"/>
        <w:rPr>
          <w:b/>
          <w:sz w:val="24"/>
          <w:szCs w:val="24"/>
        </w:rPr>
      </w:pPr>
      <w:bookmarkStart w:id="234" w:name="_Toc27994_WPSOffice_Level3"/>
    </w:p>
    <w:p>
      <w:pPr>
        <w:pStyle w:val="5"/>
        <w:spacing w:before="0"/>
        <w:ind w:left="210" w:leftChars="100" w:firstLine="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bookmarkStart w:id="235" w:name="_Toc84455588"/>
      <w:r>
        <w:rPr>
          <w:rFonts w:hint="eastAsia" w:asciiTheme="minorEastAsia" w:hAnsiTheme="minorEastAsia" w:eastAsiaTheme="minorEastAsia"/>
          <w:sz w:val="24"/>
          <w:szCs w:val="24"/>
        </w:rPr>
        <w:t>格式5</w:t>
      </w:r>
      <w:r>
        <w:rPr>
          <w:rFonts w:asciiTheme="minorEastAsia" w:hAnsiTheme="minorEastAsia" w:eastAsiaTheme="minorEastAsia"/>
          <w:sz w:val="24"/>
          <w:szCs w:val="24"/>
        </w:rPr>
        <w:t>-4</w:t>
      </w:r>
      <w:r>
        <w:rPr>
          <w:rFonts w:hint="eastAsia" w:asciiTheme="minorEastAsia" w:hAnsiTheme="minorEastAsia" w:eastAsiaTheme="minorEastAsia"/>
          <w:sz w:val="24"/>
          <w:szCs w:val="24"/>
        </w:rPr>
        <w:t>：供应商基本情况表</w:t>
      </w:r>
      <w:bookmarkEnd w:id="234"/>
      <w:bookmarkEnd w:id="235"/>
    </w:p>
    <w:p>
      <w:pPr>
        <w:spacing w:line="360" w:lineRule="auto"/>
        <w:jc w:val="center"/>
        <w:rPr>
          <w:rFonts w:ascii="宋体"/>
          <w:b/>
          <w:bCs/>
          <w:sz w:val="28"/>
          <w:szCs w:val="28"/>
        </w:rPr>
      </w:pPr>
      <w:bookmarkStart w:id="236" w:name="_Toc21520_WPSOffice_Level3"/>
      <w:bookmarkStart w:id="237" w:name="_Toc487698207"/>
      <w:r>
        <w:rPr>
          <w:rFonts w:hint="eastAsia" w:ascii="宋体"/>
          <w:b/>
          <w:bCs/>
          <w:sz w:val="28"/>
          <w:szCs w:val="28"/>
        </w:rPr>
        <w:t>供应商基本情况表</w:t>
      </w:r>
      <w:bookmarkEnd w:id="236"/>
      <w:bookmarkEnd w:id="237"/>
    </w:p>
    <w:tbl>
      <w:tblPr>
        <w:tblStyle w:val="37"/>
        <w:tblW w:w="920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94"/>
        <w:gridCol w:w="1724"/>
        <w:gridCol w:w="1742"/>
        <w:gridCol w:w="1533"/>
        <w:gridCol w:w="661"/>
        <w:gridCol w:w="683"/>
        <w:gridCol w:w="11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tcBorders>
              <w:top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单位名称</w:t>
            </w:r>
          </w:p>
        </w:tc>
        <w:tc>
          <w:tcPr>
            <w:tcW w:w="7508" w:type="dxa"/>
            <w:gridSpan w:val="6"/>
            <w:tcBorders>
              <w:top w:val="single" w:color="000000" w:sz="4" w:space="0"/>
              <w:left w:val="single" w:color="000000" w:sz="4" w:space="0"/>
              <w:bottom w:val="single" w:color="000000" w:sz="4" w:space="0"/>
            </w:tcBorders>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tcBorders>
              <w:top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单位地址</w:t>
            </w:r>
          </w:p>
        </w:tc>
        <w:tc>
          <w:tcPr>
            <w:tcW w:w="7508" w:type="dxa"/>
            <w:gridSpan w:val="6"/>
            <w:tcBorders>
              <w:top w:val="single" w:color="000000" w:sz="4" w:space="0"/>
              <w:left w:val="single" w:color="000000" w:sz="4" w:space="0"/>
              <w:bottom w:val="single" w:color="000000" w:sz="4" w:space="0"/>
            </w:tcBorders>
            <w:vAlign w:val="center"/>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tcBorders>
              <w:top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成立时间</w:t>
            </w:r>
          </w:p>
        </w:tc>
        <w:tc>
          <w:tcPr>
            <w:tcW w:w="7508" w:type="dxa"/>
            <w:gridSpan w:val="6"/>
            <w:tcBorders>
              <w:top w:val="single" w:color="000000" w:sz="4" w:space="0"/>
              <w:left w:val="single" w:color="000000" w:sz="4" w:space="0"/>
              <w:bottom w:val="single" w:color="000000" w:sz="4" w:space="0"/>
            </w:tcBorders>
            <w:vAlign w:val="center"/>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tcBorders>
              <w:top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单位性质</w:t>
            </w: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开户银行</w:t>
            </w:r>
          </w:p>
          <w:p>
            <w:pPr>
              <w:jc w:val="center"/>
              <w:rPr>
                <w:rFonts w:ascii="宋体"/>
                <w:sz w:val="24"/>
              </w:rPr>
            </w:pPr>
            <w:r>
              <w:rPr>
                <w:rFonts w:hint="eastAsia" w:ascii="宋体" w:hAnsi="宋体"/>
                <w:sz w:val="24"/>
              </w:rPr>
              <w:t>及账号</w:t>
            </w:r>
          </w:p>
        </w:tc>
        <w:tc>
          <w:tcPr>
            <w:tcW w:w="15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注册资金</w:t>
            </w:r>
          </w:p>
        </w:tc>
        <w:tc>
          <w:tcPr>
            <w:tcW w:w="1165" w:type="dxa"/>
            <w:tcBorders>
              <w:top w:val="single" w:color="000000" w:sz="4" w:space="0"/>
              <w:left w:val="single" w:color="000000" w:sz="4" w:space="0"/>
              <w:bottom w:val="single" w:color="000000" w:sz="4" w:space="0"/>
            </w:tcBorders>
            <w:vAlign w:val="center"/>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tcBorders>
              <w:top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联系人</w:t>
            </w: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电话</w:t>
            </w:r>
          </w:p>
        </w:tc>
        <w:tc>
          <w:tcPr>
            <w:tcW w:w="4042" w:type="dxa"/>
            <w:gridSpan w:val="4"/>
            <w:tcBorders>
              <w:top w:val="single" w:color="000000" w:sz="4" w:space="0"/>
              <w:left w:val="single" w:color="000000" w:sz="4" w:space="0"/>
              <w:bottom w:val="single" w:color="000000" w:sz="4" w:space="0"/>
            </w:tcBorders>
            <w:vAlign w:val="center"/>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tcBorders>
              <w:top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传真</w:t>
            </w: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ascii="宋体" w:hAnsi="宋体"/>
                <w:sz w:val="24"/>
              </w:rPr>
              <w:t>E_mail</w:t>
            </w:r>
          </w:p>
        </w:tc>
        <w:tc>
          <w:tcPr>
            <w:tcW w:w="4042" w:type="dxa"/>
            <w:gridSpan w:val="4"/>
            <w:tcBorders>
              <w:top w:val="single" w:color="000000" w:sz="4" w:space="0"/>
              <w:left w:val="single" w:color="000000" w:sz="4" w:space="0"/>
              <w:bottom w:val="single" w:color="000000" w:sz="4" w:space="0"/>
            </w:tcBorders>
            <w:vAlign w:val="center"/>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1694" w:type="dxa"/>
            <w:vMerge w:val="restart"/>
            <w:tcBorders>
              <w:top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职</w:t>
            </w:r>
          </w:p>
          <w:p>
            <w:pPr>
              <w:jc w:val="center"/>
              <w:rPr>
                <w:rFonts w:ascii="宋体"/>
                <w:sz w:val="24"/>
              </w:rPr>
            </w:pPr>
          </w:p>
          <w:p>
            <w:pPr>
              <w:jc w:val="center"/>
              <w:rPr>
                <w:rFonts w:ascii="宋体"/>
                <w:sz w:val="24"/>
              </w:rPr>
            </w:pPr>
            <w:r>
              <w:rPr>
                <w:rFonts w:hint="eastAsia" w:ascii="宋体" w:hAnsi="宋体"/>
                <w:sz w:val="24"/>
              </w:rPr>
              <w:t>工</w:t>
            </w:r>
          </w:p>
          <w:p>
            <w:pPr>
              <w:jc w:val="center"/>
              <w:rPr>
                <w:rFonts w:ascii="宋体"/>
                <w:sz w:val="24"/>
              </w:rPr>
            </w:pPr>
          </w:p>
          <w:p>
            <w:pPr>
              <w:jc w:val="center"/>
              <w:rPr>
                <w:rFonts w:ascii="宋体"/>
                <w:sz w:val="24"/>
              </w:rPr>
            </w:pPr>
            <w:r>
              <w:rPr>
                <w:rFonts w:hint="eastAsia" w:ascii="宋体" w:hAnsi="宋体"/>
                <w:sz w:val="24"/>
              </w:rPr>
              <w:t>概</w:t>
            </w:r>
          </w:p>
          <w:p>
            <w:pPr>
              <w:jc w:val="center"/>
              <w:rPr>
                <w:rFonts w:ascii="宋体"/>
                <w:sz w:val="24"/>
              </w:rPr>
            </w:pPr>
          </w:p>
          <w:p>
            <w:pPr>
              <w:jc w:val="center"/>
              <w:rPr>
                <w:rFonts w:ascii="宋体"/>
                <w:sz w:val="24"/>
              </w:rPr>
            </w:pPr>
            <w:r>
              <w:rPr>
                <w:rFonts w:hint="eastAsia" w:ascii="宋体" w:hAnsi="宋体"/>
                <w:sz w:val="24"/>
              </w:rPr>
              <w:t>况</w:t>
            </w:r>
          </w:p>
        </w:tc>
        <w:tc>
          <w:tcPr>
            <w:tcW w:w="1724" w:type="dxa"/>
            <w:tcBorders>
              <w:top w:val="single" w:color="000000" w:sz="4" w:space="0"/>
              <w:left w:val="single" w:color="000000" w:sz="4" w:space="0"/>
              <w:right w:val="single" w:color="000000" w:sz="4" w:space="0"/>
            </w:tcBorders>
            <w:vAlign w:val="center"/>
          </w:tcPr>
          <w:p>
            <w:pPr>
              <w:rPr>
                <w:rFonts w:ascii="宋体"/>
                <w:sz w:val="24"/>
              </w:rPr>
            </w:pPr>
            <w:r>
              <w:rPr>
                <w:rFonts w:hint="eastAsia" w:ascii="宋体" w:hAnsi="宋体"/>
                <w:sz w:val="24"/>
              </w:rPr>
              <w:t>职工总数：</w:t>
            </w:r>
          </w:p>
        </w:tc>
        <w:tc>
          <w:tcPr>
            <w:tcW w:w="1742" w:type="dxa"/>
            <w:tcBorders>
              <w:top w:val="single" w:color="000000" w:sz="4" w:space="0"/>
              <w:left w:val="single" w:color="000000" w:sz="4" w:space="0"/>
              <w:right w:val="single" w:color="000000" w:sz="4" w:space="0"/>
            </w:tcBorders>
            <w:vAlign w:val="center"/>
          </w:tcPr>
          <w:p>
            <w:pPr>
              <w:jc w:val="center"/>
              <w:rPr>
                <w:rFonts w:ascii="宋体"/>
                <w:sz w:val="24"/>
              </w:rPr>
            </w:pPr>
            <w:r>
              <w:rPr>
                <w:rFonts w:ascii="宋体" w:hAnsi="宋体"/>
                <w:bCs/>
                <w:sz w:val="24"/>
              </w:rPr>
              <w:t>_____</w:t>
            </w:r>
            <w:r>
              <w:rPr>
                <w:rFonts w:hint="eastAsia" w:ascii="宋体" w:hAnsi="宋体"/>
                <w:sz w:val="24"/>
              </w:rPr>
              <w:t>人</w:t>
            </w:r>
          </w:p>
        </w:tc>
        <w:tc>
          <w:tcPr>
            <w:tcW w:w="2194" w:type="dxa"/>
            <w:gridSpan w:val="2"/>
            <w:tcBorders>
              <w:top w:val="single" w:color="000000" w:sz="4" w:space="0"/>
              <w:left w:val="single" w:color="000000" w:sz="4" w:space="0"/>
              <w:right w:val="single" w:color="000000" w:sz="4" w:space="0"/>
            </w:tcBorders>
            <w:vAlign w:val="center"/>
          </w:tcPr>
          <w:p>
            <w:pPr>
              <w:rPr>
                <w:rFonts w:ascii="宋体"/>
                <w:sz w:val="24"/>
              </w:rPr>
            </w:pPr>
            <w:r>
              <w:rPr>
                <w:rFonts w:hint="eastAsia" w:ascii="宋体" w:hAnsi="宋体"/>
                <w:sz w:val="24"/>
              </w:rPr>
              <w:t>其中：技术人员</w:t>
            </w:r>
          </w:p>
        </w:tc>
        <w:tc>
          <w:tcPr>
            <w:tcW w:w="1848" w:type="dxa"/>
            <w:gridSpan w:val="2"/>
            <w:tcBorders>
              <w:top w:val="single" w:color="000000" w:sz="4" w:space="0"/>
              <w:left w:val="single" w:color="000000" w:sz="4" w:space="0"/>
            </w:tcBorders>
            <w:vAlign w:val="center"/>
          </w:tcPr>
          <w:p>
            <w:pPr>
              <w:jc w:val="center"/>
              <w:rPr>
                <w:rFonts w:ascii="宋体"/>
                <w:sz w:val="24"/>
              </w:rPr>
            </w:pPr>
            <w:r>
              <w:rPr>
                <w:rFonts w:ascii="宋体" w:hAnsi="宋体"/>
                <w:bCs/>
                <w:sz w:val="24"/>
              </w:rPr>
              <w:t>_____</w:t>
            </w:r>
            <w:r>
              <w:rPr>
                <w:rFonts w:hint="eastAsia" w:ascii="宋体" w:hAnsi="宋体"/>
                <w:sz w:val="24"/>
              </w:rPr>
              <w:t>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vMerge w:val="continue"/>
            <w:tcBorders>
              <w:top w:val="single" w:color="000000" w:sz="4" w:space="0"/>
              <w:bottom w:val="single" w:color="000000" w:sz="4" w:space="0"/>
              <w:right w:val="single" w:color="000000" w:sz="4" w:space="0"/>
            </w:tcBorders>
            <w:vAlign w:val="center"/>
          </w:tcPr>
          <w:p>
            <w:pPr>
              <w:widowControl/>
              <w:jc w:val="center"/>
              <w:rPr>
                <w:rFonts w:ascii="宋体"/>
                <w:sz w:val="24"/>
              </w:rPr>
            </w:pPr>
          </w:p>
        </w:tc>
        <w:tc>
          <w:tcPr>
            <w:tcW w:w="7508" w:type="dxa"/>
            <w:gridSpan w:val="6"/>
            <w:tcBorders>
              <w:top w:val="single" w:color="000000" w:sz="4" w:space="0"/>
              <w:left w:val="single" w:color="000000" w:sz="4" w:space="0"/>
              <w:bottom w:val="single" w:color="000000" w:sz="4" w:space="0"/>
            </w:tcBorders>
            <w:vAlign w:val="center"/>
          </w:tcPr>
          <w:p>
            <w:pPr>
              <w:jc w:val="center"/>
              <w:rPr>
                <w:rFonts w:ascii="宋体"/>
                <w:sz w:val="24"/>
              </w:rPr>
            </w:pPr>
            <w:r>
              <w:rPr>
                <w:rFonts w:hint="eastAsia" w:ascii="宋体" w:hAnsi="宋体"/>
                <w:sz w:val="24"/>
              </w:rPr>
              <w:t>单位行政和技术负责人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vMerge w:val="continue"/>
            <w:tcBorders>
              <w:top w:val="single" w:color="000000" w:sz="4" w:space="0"/>
              <w:bottom w:val="single" w:color="000000" w:sz="4" w:space="0"/>
              <w:right w:val="single" w:color="000000" w:sz="4" w:space="0"/>
            </w:tcBorders>
            <w:vAlign w:val="center"/>
          </w:tcPr>
          <w:p>
            <w:pPr>
              <w:widowControl/>
              <w:jc w:val="center"/>
              <w:rPr>
                <w:rFonts w:asci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姓名</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职务及职称</w:t>
            </w:r>
          </w:p>
        </w:tc>
        <w:tc>
          <w:tcPr>
            <w:tcW w:w="21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年龄</w:t>
            </w:r>
          </w:p>
        </w:tc>
        <w:tc>
          <w:tcPr>
            <w:tcW w:w="1848" w:type="dxa"/>
            <w:gridSpan w:val="2"/>
            <w:tcBorders>
              <w:top w:val="single" w:color="000000" w:sz="4" w:space="0"/>
              <w:left w:val="single" w:color="000000" w:sz="4" w:space="0"/>
              <w:bottom w:val="single" w:color="000000" w:sz="4" w:space="0"/>
            </w:tcBorders>
            <w:vAlign w:val="center"/>
          </w:tcPr>
          <w:p>
            <w:pPr>
              <w:jc w:val="center"/>
              <w:rPr>
                <w:rFonts w:ascii="宋体"/>
                <w:sz w:val="24"/>
              </w:rPr>
            </w:pPr>
            <w:r>
              <w:rPr>
                <w:rFonts w:hint="eastAsia" w:ascii="宋体" w:hAnsi="宋体"/>
                <w:sz w:val="24"/>
              </w:rPr>
              <w:t>专业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vMerge w:val="continue"/>
            <w:tcBorders>
              <w:top w:val="single" w:color="000000" w:sz="4" w:space="0"/>
              <w:bottom w:val="single" w:color="000000" w:sz="4" w:space="0"/>
              <w:right w:val="single" w:color="000000" w:sz="4" w:space="0"/>
            </w:tcBorders>
            <w:vAlign w:val="center"/>
          </w:tcPr>
          <w:p>
            <w:pPr>
              <w:widowControl/>
              <w:jc w:val="center"/>
              <w:rPr>
                <w:rFonts w:asci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21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848" w:type="dxa"/>
            <w:gridSpan w:val="2"/>
            <w:tcBorders>
              <w:top w:val="single" w:color="000000" w:sz="4" w:space="0"/>
              <w:left w:val="single" w:color="000000" w:sz="4" w:space="0"/>
              <w:bottom w:val="single" w:color="000000" w:sz="4" w:space="0"/>
            </w:tcBorders>
            <w:vAlign w:val="center"/>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4" w:type="dxa"/>
            <w:vMerge w:val="continue"/>
            <w:tcBorders>
              <w:top w:val="single" w:color="000000" w:sz="4" w:space="0"/>
              <w:bottom w:val="single" w:color="000000" w:sz="4" w:space="0"/>
              <w:right w:val="single" w:color="000000" w:sz="4" w:space="0"/>
            </w:tcBorders>
            <w:vAlign w:val="center"/>
          </w:tcPr>
          <w:p>
            <w:pPr>
              <w:widowControl/>
              <w:jc w:val="center"/>
              <w:rPr>
                <w:rFonts w:asci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21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p>
        </w:tc>
        <w:tc>
          <w:tcPr>
            <w:tcW w:w="1848" w:type="dxa"/>
            <w:gridSpan w:val="2"/>
            <w:tcBorders>
              <w:top w:val="single" w:color="000000" w:sz="4" w:space="0"/>
              <w:left w:val="single" w:color="000000" w:sz="4" w:space="0"/>
              <w:bottom w:val="single" w:color="000000"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02" w:type="dxa"/>
            <w:gridSpan w:val="7"/>
            <w:tcBorders>
              <w:top w:val="single" w:color="auto" w:sz="4" w:space="0"/>
              <w:bottom w:val="single" w:color="auto" w:sz="4" w:space="0"/>
            </w:tcBorders>
            <w:vAlign w:val="center"/>
          </w:tcPr>
          <w:p>
            <w:pPr>
              <w:ind w:firstLine="240" w:firstLineChars="100"/>
              <w:rPr>
                <w:rFonts w:ascii="宋体"/>
                <w:sz w:val="24"/>
              </w:rPr>
            </w:pPr>
            <w:r>
              <w:rPr>
                <w:rFonts w:hint="eastAsia" w:ascii="宋体" w:hAnsi="宋体"/>
                <w:sz w:val="24"/>
              </w:rPr>
              <w:t>单位概况：</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tc>
      </w:tr>
    </w:tbl>
    <w:p>
      <w:pPr>
        <w:widowControl/>
        <w:spacing w:line="360" w:lineRule="auto"/>
        <w:rPr>
          <w:rFonts w:ascii="宋体"/>
          <w:sz w:val="24"/>
        </w:rPr>
      </w:pPr>
    </w:p>
    <w:p>
      <w:pPr>
        <w:widowControl/>
        <w:spacing w:line="360" w:lineRule="auto"/>
        <w:rPr>
          <w:rFonts w:ascii="宋体"/>
          <w:sz w:val="24"/>
        </w:rPr>
      </w:pPr>
    </w:p>
    <w:p>
      <w:pPr>
        <w:ind w:firstLine="422"/>
        <w:rPr>
          <w:rFonts w:ascii="宋体"/>
          <w:sz w:val="24"/>
        </w:rPr>
      </w:pPr>
      <w:r>
        <w:rPr>
          <w:rFonts w:hint="eastAsia" w:ascii="宋体" w:hAnsi="宋体"/>
          <w:sz w:val="24"/>
        </w:rPr>
        <w:t>供应商：（盖单位公章）</w:t>
      </w:r>
    </w:p>
    <w:p>
      <w:pPr>
        <w:ind w:firstLine="422"/>
        <w:rPr>
          <w:rFonts w:ascii="宋体"/>
          <w:sz w:val="24"/>
        </w:rPr>
      </w:pPr>
    </w:p>
    <w:p>
      <w:pPr>
        <w:ind w:firstLine="422"/>
        <w:rPr>
          <w:rFonts w:ascii="宋体"/>
          <w:sz w:val="24"/>
        </w:rPr>
      </w:pPr>
      <w:r>
        <w:rPr>
          <w:rFonts w:hint="eastAsia" w:ascii="宋体" w:hAnsi="宋体"/>
          <w:sz w:val="24"/>
        </w:rPr>
        <w:t>法定代表人或其委托代理人：（签字或盖章）</w:t>
      </w:r>
    </w:p>
    <w:p>
      <w:pPr>
        <w:ind w:firstLine="422"/>
        <w:rPr>
          <w:rFonts w:ascii="宋体"/>
          <w:b/>
          <w:bCs/>
          <w:sz w:val="24"/>
        </w:rPr>
      </w:pPr>
    </w:p>
    <w:p>
      <w:pPr>
        <w:ind w:firstLine="422"/>
        <w:rPr>
          <w:rFonts w:ascii="宋体"/>
          <w:bCs/>
          <w:sz w:val="24"/>
        </w:rPr>
      </w:pPr>
      <w:r>
        <w:rPr>
          <w:rFonts w:hint="eastAsia" w:ascii="宋体" w:hAnsi="宋体"/>
          <w:bCs/>
          <w:sz w:val="24"/>
        </w:rPr>
        <w:t>日期：</w:t>
      </w:r>
      <w:r>
        <w:rPr>
          <w:rFonts w:ascii="宋体" w:hAnsi="宋体"/>
          <w:bCs/>
          <w:sz w:val="24"/>
        </w:rPr>
        <w:t xml:space="preserve">_____________________ </w:t>
      </w:r>
    </w:p>
    <w:p/>
    <w:p>
      <w:pPr>
        <w:pStyle w:val="17"/>
        <w:spacing w:line="360" w:lineRule="auto"/>
        <w:rPr>
          <w:sz w:val="24"/>
        </w:rPr>
      </w:pPr>
      <w:r>
        <w:br w:type="page"/>
      </w:r>
    </w:p>
    <w:p>
      <w:pPr>
        <w:pStyle w:val="5"/>
        <w:spacing w:before="0"/>
        <w:ind w:left="210" w:leftChars="100" w:firstLine="0"/>
        <w:rPr>
          <w:rFonts w:asciiTheme="minorEastAsia" w:hAnsiTheme="minorEastAsia" w:eastAsiaTheme="minorEastAsia"/>
          <w:sz w:val="24"/>
          <w:szCs w:val="24"/>
        </w:rPr>
      </w:pPr>
      <w:bookmarkStart w:id="238" w:name="_Toc28668_WPSOffice_Level3"/>
      <w:bookmarkStart w:id="239" w:name="_Toc409775275"/>
      <w:bookmarkStart w:id="240" w:name="_Toc417657282"/>
      <w:bookmarkStart w:id="241" w:name="_Toc417475049"/>
      <w:bookmarkStart w:id="242" w:name="_Toc417475050"/>
      <w:r>
        <w:rPr>
          <w:rFonts w:hint="eastAsia" w:ascii="宋体" w:hAnsi="宋体"/>
          <w:sz w:val="24"/>
          <w:szCs w:val="24"/>
        </w:rPr>
        <w:t xml:space="preserve"> </w:t>
      </w:r>
      <w:r>
        <w:rPr>
          <w:rFonts w:hint="eastAsia" w:asciiTheme="minorEastAsia" w:hAnsiTheme="minorEastAsia" w:eastAsiaTheme="minorEastAsia"/>
          <w:sz w:val="24"/>
          <w:szCs w:val="24"/>
        </w:rPr>
        <w:t xml:space="preserve"> </w:t>
      </w:r>
      <w:bookmarkStart w:id="243" w:name="_Toc84455589"/>
      <w:r>
        <w:rPr>
          <w:rFonts w:hint="eastAsia" w:asciiTheme="minorEastAsia" w:hAnsiTheme="minorEastAsia" w:eastAsiaTheme="minorEastAsia"/>
          <w:sz w:val="24"/>
          <w:szCs w:val="24"/>
        </w:rPr>
        <w:t>格式5</w:t>
      </w:r>
      <w:r>
        <w:rPr>
          <w:rFonts w:asciiTheme="minorEastAsia" w:hAnsiTheme="minorEastAsia" w:eastAsiaTheme="minorEastAsia"/>
          <w:sz w:val="24"/>
          <w:szCs w:val="24"/>
        </w:rPr>
        <w:t>-5</w:t>
      </w:r>
      <w:r>
        <w:rPr>
          <w:rFonts w:hint="eastAsia" w:asciiTheme="minorEastAsia" w:hAnsiTheme="minorEastAsia" w:eastAsiaTheme="minorEastAsia"/>
          <w:sz w:val="24"/>
          <w:szCs w:val="24"/>
        </w:rPr>
        <w:t>：供应商缴纳税收证明材料</w:t>
      </w:r>
      <w:bookmarkEnd w:id="238"/>
      <w:bookmarkEnd w:id="243"/>
    </w:p>
    <w:p>
      <w:pPr>
        <w:spacing w:line="360" w:lineRule="auto"/>
        <w:rPr>
          <w:rFonts w:ascii="宋体"/>
          <w:b/>
          <w:sz w:val="28"/>
          <w:szCs w:val="28"/>
        </w:rPr>
      </w:pPr>
    </w:p>
    <w:p>
      <w:pPr>
        <w:pStyle w:val="5"/>
        <w:spacing w:before="0"/>
        <w:ind w:left="210" w:leftChars="100" w:firstLine="0"/>
        <w:rPr>
          <w:rFonts w:asciiTheme="minorEastAsia" w:hAnsiTheme="minorEastAsia" w:eastAsiaTheme="minorEastAsia"/>
          <w:sz w:val="24"/>
          <w:szCs w:val="24"/>
        </w:rPr>
      </w:pPr>
      <w:bookmarkStart w:id="244" w:name="_Toc4165_WPSOffice_Level3"/>
      <w:r>
        <w:rPr>
          <w:rFonts w:hint="eastAsia" w:ascii="宋体" w:hAnsi="宋体"/>
          <w:sz w:val="24"/>
          <w:szCs w:val="24"/>
        </w:rPr>
        <w:t xml:space="preserve">  </w:t>
      </w:r>
      <w:bookmarkStart w:id="245" w:name="_Toc84455590"/>
      <w:r>
        <w:rPr>
          <w:rFonts w:hint="eastAsia" w:asciiTheme="minorEastAsia" w:hAnsiTheme="minorEastAsia" w:eastAsiaTheme="minorEastAsia"/>
          <w:sz w:val="24"/>
          <w:szCs w:val="24"/>
        </w:rPr>
        <w:t>格式5</w:t>
      </w:r>
      <w:r>
        <w:rPr>
          <w:rFonts w:asciiTheme="minorEastAsia" w:hAnsiTheme="minorEastAsia" w:eastAsiaTheme="minorEastAsia"/>
          <w:sz w:val="24"/>
          <w:szCs w:val="24"/>
        </w:rPr>
        <w:t>-6</w:t>
      </w:r>
      <w:r>
        <w:rPr>
          <w:rFonts w:hint="eastAsia" w:asciiTheme="minorEastAsia" w:hAnsiTheme="minorEastAsia" w:eastAsiaTheme="minorEastAsia"/>
          <w:sz w:val="24"/>
          <w:szCs w:val="24"/>
        </w:rPr>
        <w:t>：供应商缴纳社保证明材料</w:t>
      </w:r>
      <w:bookmarkEnd w:id="244"/>
      <w:bookmarkEnd w:id="245"/>
    </w:p>
    <w:p>
      <w:pPr>
        <w:spacing w:line="360" w:lineRule="auto"/>
        <w:rPr>
          <w:rFonts w:ascii="宋体"/>
          <w:b/>
          <w:sz w:val="28"/>
          <w:szCs w:val="28"/>
        </w:rPr>
      </w:pPr>
    </w:p>
    <w:p>
      <w:pPr>
        <w:pStyle w:val="5"/>
        <w:spacing w:before="0"/>
        <w:ind w:left="210" w:leftChars="100" w:firstLine="0"/>
        <w:rPr>
          <w:rFonts w:asciiTheme="minorEastAsia" w:hAnsiTheme="minorEastAsia" w:eastAsiaTheme="minorEastAsia"/>
          <w:sz w:val="24"/>
          <w:szCs w:val="24"/>
        </w:rPr>
      </w:pPr>
      <w:bookmarkStart w:id="246" w:name="_Toc26286_WPSOffice_Level3"/>
      <w:r>
        <w:rPr>
          <w:rFonts w:hint="eastAsia" w:ascii="宋体" w:hAnsi="宋体"/>
          <w:sz w:val="24"/>
          <w:szCs w:val="24"/>
        </w:rPr>
        <w:t xml:space="preserve"> </w:t>
      </w:r>
      <w:r>
        <w:rPr>
          <w:rFonts w:hint="eastAsia" w:asciiTheme="minorEastAsia" w:hAnsiTheme="minorEastAsia" w:eastAsiaTheme="minorEastAsia"/>
          <w:sz w:val="24"/>
          <w:szCs w:val="24"/>
        </w:rPr>
        <w:t xml:space="preserve"> </w:t>
      </w:r>
      <w:bookmarkStart w:id="247" w:name="_Toc84455591"/>
      <w:r>
        <w:rPr>
          <w:rFonts w:hint="eastAsia" w:asciiTheme="minorEastAsia" w:hAnsiTheme="minorEastAsia" w:eastAsiaTheme="minorEastAsia"/>
          <w:sz w:val="24"/>
          <w:szCs w:val="24"/>
        </w:rPr>
        <w:t>格式5</w:t>
      </w:r>
      <w:r>
        <w:rPr>
          <w:rFonts w:asciiTheme="minorEastAsia" w:hAnsiTheme="minorEastAsia" w:eastAsiaTheme="minorEastAsia"/>
          <w:sz w:val="24"/>
          <w:szCs w:val="24"/>
        </w:rPr>
        <w:t>-7</w:t>
      </w:r>
      <w:r>
        <w:rPr>
          <w:rFonts w:hint="eastAsia" w:asciiTheme="minorEastAsia" w:hAnsiTheme="minorEastAsia" w:eastAsiaTheme="minorEastAsia"/>
          <w:sz w:val="24"/>
          <w:szCs w:val="24"/>
        </w:rPr>
        <w:t>：供应商近期财务状况报告</w:t>
      </w:r>
      <w:bookmarkEnd w:id="246"/>
      <w:bookmarkEnd w:id="247"/>
      <w:bookmarkStart w:id="248" w:name="_Toc17236_WPSOffice_Level3"/>
    </w:p>
    <w:p>
      <w:pPr>
        <w:pStyle w:val="5"/>
        <w:spacing w:before="0"/>
        <w:ind w:left="210" w:leftChars="100" w:firstLine="0"/>
        <w:rPr>
          <w:rFonts w:ascii="宋体" w:hAnsi="宋体"/>
          <w:sz w:val="24"/>
          <w:szCs w:val="24"/>
        </w:rPr>
      </w:pPr>
      <w:r>
        <w:rPr>
          <w:rFonts w:hint="eastAsia" w:ascii="宋体" w:hAnsi="宋体"/>
          <w:sz w:val="24"/>
          <w:szCs w:val="24"/>
        </w:rPr>
        <w:t xml:space="preserve"> </w:t>
      </w:r>
    </w:p>
    <w:p>
      <w:pPr>
        <w:pStyle w:val="5"/>
        <w:spacing w:before="0"/>
        <w:ind w:left="210" w:leftChars="100" w:firstLine="0"/>
        <w:rPr>
          <w:rFonts w:ascii="宋体" w:hAnsi="宋体"/>
          <w:sz w:val="24"/>
          <w:szCs w:val="24"/>
        </w:rPr>
      </w:pPr>
      <w:r>
        <w:rPr>
          <w:rFonts w:hint="eastAsia" w:ascii="宋体" w:hAnsi="宋体"/>
          <w:sz w:val="24"/>
          <w:szCs w:val="24"/>
        </w:rPr>
        <w:t xml:space="preserve"> </w:t>
      </w:r>
      <w:bookmarkStart w:id="249" w:name="_Toc84455592"/>
      <w:r>
        <w:rPr>
          <w:rFonts w:hint="eastAsia" w:ascii="宋体" w:hAnsi="宋体"/>
          <w:sz w:val="24"/>
          <w:szCs w:val="24"/>
        </w:rPr>
        <w:t>格式5</w:t>
      </w:r>
      <w:r>
        <w:rPr>
          <w:rFonts w:ascii="宋体" w:hAnsi="宋体"/>
          <w:sz w:val="24"/>
          <w:szCs w:val="24"/>
        </w:rPr>
        <w:t>-8</w:t>
      </w:r>
      <w:r>
        <w:rPr>
          <w:rFonts w:hint="eastAsia" w:ascii="宋体" w:hAnsi="宋体"/>
          <w:sz w:val="24"/>
          <w:szCs w:val="24"/>
        </w:rPr>
        <w:t>：参加政府采购活动前三年内在经营活动中没有重大违法记录的书面声明</w:t>
      </w:r>
      <w:bookmarkEnd w:id="248"/>
      <w:bookmarkEnd w:id="249"/>
    </w:p>
    <w:p>
      <w:pPr>
        <w:pStyle w:val="179"/>
        <w:spacing w:line="360" w:lineRule="exact"/>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致：楚雄医药高等专科学校</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u w:val="single"/>
        </w:rPr>
        <w:t>（供应商名称）</w:t>
      </w:r>
      <w:r>
        <w:rPr>
          <w:rFonts w:hint="eastAsia" w:asciiTheme="minorEastAsia" w:hAnsiTheme="minorEastAsia" w:eastAsiaTheme="minorEastAsia" w:cstheme="minorEastAsia"/>
        </w:rPr>
        <w:t>在此声明，我方在参加本次政府采购活动前三年内，在经营活动中没有以下重大违法记录：</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1. 我方因违法经营被追究过刑事责任；</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 我方因违法经营被责令停产停业、吊销许可证或者执照；</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3. 我方因违法经营被处以较大数额罚款等行政处罚。</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4. 我方在近三年承接的项目中，无违法、违规的不良记录，未因违规或违约介入诉讼或仲裁，不存在拖欠工资情况及重大质量问题、重大安全事故，未因违规或违约解除合同。我方在投标期间没有处于被责令停业、或财产被接管或冻结、或被暂停参加投标活动的处罚阶段。</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5. 我方保证上述信息的完整、客观、真实、准确，若在本项目的招标投标的全过程中，被查实我方提供的资料及上述承诺不属实，或提供的相关资料不属实或不满足响应文件的要求，我方愿意自动放弃投标资格，且我方将自愿无条件承担我方因提供虚假材料谋骗取中标、成交所引起的一切法律后果(包括经济损失)。</w:t>
      </w:r>
    </w:p>
    <w:p>
      <w:pPr>
        <w:pStyle w:val="32"/>
        <w:spacing w:before="0" w:beforeAutospacing="0" w:after="360" w:afterAutospacing="0"/>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32"/>
        <w:spacing w:before="0" w:beforeAutospacing="0" w:after="360" w:afterAutospacing="0"/>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供应商名称（公章）：</w:t>
      </w:r>
    </w:p>
    <w:p>
      <w:pPr>
        <w:pStyle w:val="32"/>
        <w:spacing w:before="0" w:beforeAutospacing="0" w:after="360" w:afterAutospacing="0"/>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法定代表人或授权代表（签字）：</w:t>
      </w:r>
    </w:p>
    <w:p>
      <w:pPr>
        <w:pStyle w:val="32"/>
        <w:spacing w:before="0" w:beforeAutospacing="0" w:after="360" w:afterAutospacing="0"/>
        <w:ind w:firstLine="54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投标日期：年 月 日</w:t>
      </w:r>
    </w:p>
    <w:bookmarkEnd w:id="239"/>
    <w:bookmarkEnd w:id="240"/>
    <w:bookmarkEnd w:id="241"/>
    <w:bookmarkEnd w:id="242"/>
    <w:p>
      <w:pPr>
        <w:pStyle w:val="4"/>
        <w:spacing w:before="0" w:line="240" w:lineRule="atLeast"/>
        <w:ind w:left="0" w:firstLine="0"/>
        <w:rPr>
          <w:rFonts w:ascii="宋体" w:hAnsi="宋体" w:eastAsia="宋体"/>
          <w:sz w:val="24"/>
          <w:szCs w:val="24"/>
        </w:rPr>
      </w:pPr>
      <w:bookmarkStart w:id="250" w:name="_Toc60996694"/>
      <w:bookmarkStart w:id="251" w:name="_Toc417657284"/>
      <w:bookmarkStart w:id="252" w:name="_Toc15539_WPSOffice_Level3"/>
      <w:bookmarkStart w:id="253" w:name="_Toc9163"/>
      <w:bookmarkStart w:id="254" w:name="_Toc417475051"/>
    </w:p>
    <w:p>
      <w:pPr>
        <w:pStyle w:val="4"/>
        <w:spacing w:before="0" w:line="240" w:lineRule="atLeast"/>
        <w:ind w:left="0" w:firstLine="0"/>
        <w:rPr>
          <w:rFonts w:ascii="宋体" w:hAnsi="宋体" w:eastAsia="宋体"/>
          <w:sz w:val="24"/>
          <w:szCs w:val="24"/>
        </w:rPr>
      </w:pPr>
      <w:bookmarkStart w:id="255" w:name="_Toc84455593"/>
      <w:r>
        <w:rPr>
          <w:rFonts w:hint="eastAsia" w:ascii="宋体" w:hAnsi="宋体" w:eastAsia="宋体"/>
          <w:sz w:val="24"/>
          <w:szCs w:val="24"/>
        </w:rPr>
        <w:t>格式6：构成响应文件的其他资料</w:t>
      </w:r>
      <w:bookmarkEnd w:id="250"/>
      <w:bookmarkEnd w:id="251"/>
      <w:bookmarkEnd w:id="252"/>
      <w:bookmarkEnd w:id="253"/>
      <w:bookmarkEnd w:id="254"/>
      <w:bookmarkEnd w:id="255"/>
    </w:p>
    <w:p/>
    <w:p>
      <w:pPr>
        <w:spacing w:line="460" w:lineRule="exact"/>
        <w:ind w:firstLine="480" w:firstLineChars="200"/>
        <w:rPr>
          <w:rFonts w:ascii="宋体" w:hAnsi="宋体"/>
          <w:sz w:val="24"/>
        </w:rPr>
      </w:pPr>
      <w:r>
        <w:rPr>
          <w:rFonts w:hint="eastAsia" w:ascii="宋体" w:hAnsi="宋体"/>
          <w:sz w:val="24"/>
        </w:rPr>
        <w:t>详见第一章“竞争性谈判公告”，有格式的请按给定格式填写如信用查询承诺函等其他资料，无格式要求的请自拟格式。</w:t>
      </w:r>
    </w:p>
    <w:p>
      <w:pPr>
        <w:pStyle w:val="179"/>
        <w:spacing w:line="400" w:lineRule="exact"/>
        <w:ind w:left="420" w:firstLine="0" w:firstLineChars="0"/>
        <w:jc w:val="center"/>
        <w:rPr>
          <w:rFonts w:ascii="宋体" w:hAnsi="宋体"/>
          <w:b/>
          <w:sz w:val="24"/>
        </w:rPr>
      </w:pPr>
    </w:p>
    <w:p>
      <w:pPr>
        <w:pStyle w:val="4"/>
        <w:spacing w:before="0" w:line="240" w:lineRule="atLeast"/>
        <w:ind w:left="420" w:leftChars="200" w:firstLine="0"/>
        <w:rPr>
          <w:rFonts w:ascii="宋体" w:hAnsi="宋体" w:eastAsia="宋体"/>
          <w:sz w:val="32"/>
          <w:szCs w:val="32"/>
        </w:rPr>
      </w:pPr>
      <w:bookmarkStart w:id="256" w:name="_Toc84455594"/>
      <w:r>
        <w:rPr>
          <w:rFonts w:hint="eastAsia" w:ascii="宋体" w:hAnsi="宋体" w:eastAsia="宋体"/>
          <w:sz w:val="32"/>
          <w:szCs w:val="32"/>
        </w:rPr>
        <w:t>技术文件</w:t>
      </w:r>
      <w:bookmarkEnd w:id="256"/>
    </w:p>
    <w:p>
      <w:pPr>
        <w:spacing w:line="460" w:lineRule="exact"/>
        <w:ind w:firstLine="480" w:firstLineChars="200"/>
        <w:rPr>
          <w:rFonts w:ascii="宋体" w:hAnsi="宋体"/>
          <w:sz w:val="24"/>
        </w:rPr>
      </w:pPr>
      <w:r>
        <w:rPr>
          <w:rFonts w:hint="eastAsia" w:ascii="宋体" w:hAnsi="宋体"/>
          <w:sz w:val="24"/>
        </w:rPr>
        <w:t>至少应包括（但不限于）以下内容：</w:t>
      </w:r>
    </w:p>
    <w:p>
      <w:pPr>
        <w:spacing w:line="460" w:lineRule="exact"/>
        <w:ind w:firstLine="480" w:firstLineChars="200"/>
        <w:rPr>
          <w:rFonts w:ascii="宋体" w:hAnsi="宋体"/>
          <w:sz w:val="24"/>
        </w:rPr>
      </w:pPr>
      <w:r>
        <w:rPr>
          <w:rFonts w:hint="eastAsia" w:ascii="宋体" w:hAnsi="宋体"/>
          <w:sz w:val="24"/>
        </w:rPr>
        <w:t>1. 货物主要技术指标、参数及性能的详细说明；原材料选择、设计（使用）寿命；外购/外协件制造厂、产地；</w:t>
      </w:r>
    </w:p>
    <w:p>
      <w:pPr>
        <w:spacing w:line="460" w:lineRule="exact"/>
        <w:ind w:firstLine="480" w:firstLineChars="200"/>
        <w:rPr>
          <w:rFonts w:ascii="宋体" w:hAnsi="宋体"/>
          <w:sz w:val="24"/>
        </w:rPr>
      </w:pPr>
      <w:r>
        <w:rPr>
          <w:rFonts w:hint="eastAsia" w:ascii="宋体" w:hAnsi="宋体"/>
          <w:sz w:val="24"/>
        </w:rPr>
        <w:t>2. 货物设计、制造、检验（测）、试验、验收、包装、运输、储存等拟采用的标准、规范和方式；产品相关鉴定资料、试验报告、检验报告等。</w:t>
      </w:r>
    </w:p>
    <w:p>
      <w:pPr>
        <w:spacing w:line="460" w:lineRule="exact"/>
        <w:ind w:firstLine="480" w:firstLineChars="200"/>
        <w:rPr>
          <w:rFonts w:ascii="宋体" w:hAnsi="宋体"/>
          <w:sz w:val="24"/>
        </w:rPr>
      </w:pPr>
      <w:r>
        <w:rPr>
          <w:rFonts w:hint="eastAsia" w:ascii="宋体" w:hAnsi="宋体"/>
          <w:sz w:val="24"/>
        </w:rPr>
        <w:t>3. 所投货物的技术彩页或有效的宣传资料及必要的图纸资料；</w:t>
      </w:r>
    </w:p>
    <w:p>
      <w:pPr>
        <w:spacing w:line="460" w:lineRule="exact"/>
        <w:ind w:firstLine="480" w:firstLineChars="200"/>
        <w:rPr>
          <w:rFonts w:ascii="宋体" w:hAnsi="宋体"/>
          <w:sz w:val="24"/>
        </w:rPr>
      </w:pPr>
      <w:r>
        <w:rPr>
          <w:rFonts w:hint="eastAsia" w:ascii="宋体" w:hAnsi="宋体"/>
          <w:sz w:val="24"/>
        </w:rPr>
        <w:t>4. 人员培训、技术服务计划及说明；货物安装、调试、试运行实施方案及进度计划；</w:t>
      </w:r>
    </w:p>
    <w:p>
      <w:pPr>
        <w:spacing w:line="460" w:lineRule="exact"/>
        <w:ind w:firstLine="480" w:firstLineChars="200"/>
        <w:rPr>
          <w:rFonts w:ascii="宋体" w:hAnsi="宋体"/>
          <w:sz w:val="24"/>
        </w:rPr>
      </w:pPr>
      <w:r>
        <w:rPr>
          <w:rFonts w:hint="eastAsia" w:ascii="宋体" w:hAnsi="宋体"/>
          <w:sz w:val="24"/>
        </w:rPr>
        <w:t>5. 供应商提出的合理化建议（如技术方案的调整、设备配置及功能等）；</w:t>
      </w:r>
    </w:p>
    <w:p>
      <w:pPr>
        <w:spacing w:line="360" w:lineRule="auto"/>
        <w:ind w:firstLine="420" w:firstLineChars="200"/>
        <w:rPr>
          <w:rFonts w:ascii="宋体"/>
          <w:sz w:val="24"/>
        </w:rPr>
      </w:pPr>
      <w:r>
        <w:rPr>
          <w:rFonts w:hint="eastAsia" w:ascii="宋体"/>
          <w:szCs w:val="21"/>
        </w:rPr>
        <w:t>……</w:t>
      </w:r>
    </w:p>
    <w:p>
      <w:pPr>
        <w:pStyle w:val="179"/>
        <w:spacing w:line="400" w:lineRule="exact"/>
        <w:ind w:firstLine="0" w:firstLineChars="0"/>
        <w:jc w:val="left"/>
        <w:rPr>
          <w:rFonts w:ascii="宋体" w:hAnsi="宋体"/>
          <w:b/>
          <w:bCs/>
          <w:sz w:val="24"/>
        </w:rPr>
      </w:pPr>
    </w:p>
    <w:p>
      <w:pPr>
        <w:spacing w:line="640" w:lineRule="exact"/>
        <w:rPr>
          <w:rFonts w:ascii="宋体" w:hAnsi="宋体"/>
          <w:sz w:val="24"/>
        </w:rPr>
      </w:pPr>
      <w:bookmarkStart w:id="257" w:name="_Toc8522_WPSOffice_Level2"/>
      <w:bookmarkStart w:id="258" w:name="_Toc17377_WPSOffice_Level3"/>
      <w:r>
        <w:rPr>
          <w:rFonts w:hint="eastAsia" w:ascii="宋体" w:hAnsi="宋体"/>
          <w:sz w:val="24"/>
        </w:rPr>
        <w:t>七、货物说明一览表</w:t>
      </w:r>
      <w:bookmarkEnd w:id="257"/>
      <w:bookmarkEnd w:id="258"/>
    </w:p>
    <w:p>
      <w:pPr>
        <w:spacing w:line="640" w:lineRule="exact"/>
        <w:rPr>
          <w:rFonts w:ascii="宋体" w:hAnsi="宋体"/>
          <w:sz w:val="24"/>
        </w:rPr>
      </w:pPr>
      <w:bookmarkStart w:id="259" w:name="_Toc18212_WPSOffice_Level2"/>
      <w:bookmarkStart w:id="260" w:name="_Toc26723_WPSOffice_Level3"/>
      <w:r>
        <w:rPr>
          <w:rFonts w:hint="eastAsia" w:ascii="宋体" w:hAnsi="宋体"/>
          <w:sz w:val="24"/>
        </w:rPr>
        <w:t>八、技术规格、参数响应/偏离表</w:t>
      </w:r>
      <w:bookmarkEnd w:id="259"/>
      <w:bookmarkEnd w:id="260"/>
    </w:p>
    <w:p>
      <w:pPr>
        <w:spacing w:line="640" w:lineRule="exact"/>
        <w:rPr>
          <w:rFonts w:ascii="宋体" w:hAnsi="宋体"/>
          <w:sz w:val="24"/>
        </w:rPr>
      </w:pPr>
      <w:bookmarkStart w:id="261" w:name="_Toc14908_WPSOffice_Level3"/>
      <w:bookmarkStart w:id="262" w:name="_Toc5788_WPSOffice_Level2"/>
      <w:r>
        <w:rPr>
          <w:rFonts w:hint="eastAsia" w:ascii="宋体" w:hAnsi="宋体"/>
          <w:sz w:val="24"/>
        </w:rPr>
        <w:t>九、实施交货方案及说明</w:t>
      </w:r>
      <w:bookmarkEnd w:id="261"/>
      <w:bookmarkEnd w:id="262"/>
    </w:p>
    <w:p>
      <w:pPr>
        <w:pStyle w:val="13"/>
        <w:spacing w:line="640" w:lineRule="exact"/>
        <w:rPr>
          <w:rFonts w:ascii="宋体" w:hAnsi="宋体"/>
        </w:rPr>
      </w:pPr>
      <w:r>
        <w:rPr>
          <w:rFonts w:hint="eastAsia" w:ascii="宋体" w:hAnsi="宋体"/>
        </w:rPr>
        <w:t>十、质量保证和售后服务承诺书</w:t>
      </w:r>
    </w:p>
    <w:p>
      <w:pPr>
        <w:spacing w:line="640" w:lineRule="exact"/>
        <w:rPr>
          <w:rFonts w:ascii="宋体" w:hAnsi="宋体"/>
          <w:sz w:val="24"/>
        </w:rPr>
      </w:pPr>
      <w:bookmarkStart w:id="263" w:name="_Toc28420_WPSOffice_Level3"/>
      <w:bookmarkStart w:id="264" w:name="_Toc5966_WPSOffice_Level2"/>
      <w:r>
        <w:rPr>
          <w:rFonts w:hint="eastAsia" w:ascii="宋体" w:hAnsi="宋体"/>
          <w:sz w:val="24"/>
        </w:rPr>
        <w:t>十一、投标货物符合谈判文件规定的证明文件</w:t>
      </w:r>
      <w:bookmarkEnd w:id="263"/>
      <w:bookmarkEnd w:id="264"/>
    </w:p>
    <w:p>
      <w:pPr>
        <w:spacing w:line="640" w:lineRule="exact"/>
        <w:rPr>
          <w:rFonts w:ascii="宋体" w:hAnsi="宋体"/>
          <w:sz w:val="24"/>
        </w:rPr>
      </w:pPr>
      <w:r>
        <w:rPr>
          <w:rFonts w:hint="eastAsia" w:ascii="宋体" w:hAnsi="宋体"/>
          <w:sz w:val="24"/>
        </w:rPr>
        <w:t>十二、其他声明</w:t>
      </w:r>
    </w:p>
    <w:p>
      <w:pPr>
        <w:spacing w:line="640" w:lineRule="exact"/>
        <w:rPr>
          <w:rFonts w:ascii="宋体" w:hAnsi="宋体"/>
          <w:sz w:val="24"/>
        </w:rPr>
      </w:pPr>
    </w:p>
    <w:p>
      <w:pPr>
        <w:pStyle w:val="4"/>
        <w:spacing w:before="0" w:line="240" w:lineRule="atLeast"/>
        <w:ind w:left="0" w:firstLine="482" w:firstLineChars="200"/>
        <w:rPr>
          <w:rFonts w:ascii="宋体" w:eastAsia="宋体"/>
          <w:sz w:val="24"/>
          <w:szCs w:val="24"/>
        </w:rPr>
      </w:pPr>
    </w:p>
    <w:p>
      <w:pPr>
        <w:pStyle w:val="4"/>
        <w:spacing w:before="0" w:line="240" w:lineRule="atLeast"/>
        <w:ind w:left="0" w:firstLine="482" w:firstLineChars="200"/>
        <w:rPr>
          <w:rFonts w:ascii="宋体" w:eastAsia="宋体"/>
          <w:sz w:val="24"/>
          <w:szCs w:val="24"/>
        </w:rPr>
      </w:pPr>
    </w:p>
    <w:p>
      <w:pPr>
        <w:rPr>
          <w:rFonts w:ascii="宋体"/>
          <w:sz w:val="24"/>
        </w:rPr>
      </w:pPr>
    </w:p>
    <w:p>
      <w:pPr>
        <w:pStyle w:val="13"/>
        <w:rPr>
          <w:rFonts w:ascii="宋体"/>
        </w:rPr>
      </w:pPr>
    </w:p>
    <w:p>
      <w:pPr>
        <w:pStyle w:val="13"/>
        <w:rPr>
          <w:rFonts w:ascii="宋体"/>
        </w:rPr>
      </w:pPr>
    </w:p>
    <w:p>
      <w:pPr>
        <w:pStyle w:val="4"/>
        <w:spacing w:before="0" w:line="240" w:lineRule="atLeast"/>
        <w:ind w:left="0" w:firstLine="0"/>
        <w:rPr>
          <w:rFonts w:ascii="宋体" w:hAnsi="宋体" w:eastAsia="宋体"/>
          <w:sz w:val="24"/>
          <w:szCs w:val="24"/>
        </w:rPr>
      </w:pPr>
      <w:bookmarkStart w:id="265" w:name="_Toc84455595"/>
      <w:bookmarkStart w:id="266" w:name="_Toc5966_WPSOffice_Level3"/>
      <w:r>
        <w:rPr>
          <w:rFonts w:hint="eastAsia" w:ascii="宋体" w:hAnsi="宋体" w:eastAsia="宋体"/>
          <w:sz w:val="24"/>
          <w:szCs w:val="24"/>
        </w:rPr>
        <w:t>格式7 :货物说明一览表</w:t>
      </w:r>
      <w:bookmarkEnd w:id="265"/>
      <w:bookmarkEnd w:id="266"/>
    </w:p>
    <w:p>
      <w:pPr>
        <w:pStyle w:val="4"/>
        <w:spacing w:before="0" w:line="240" w:lineRule="atLeast"/>
        <w:ind w:left="0" w:firstLine="482" w:firstLineChars="200"/>
        <w:rPr>
          <w:rFonts w:ascii="宋体" w:eastAsia="宋体"/>
          <w:sz w:val="24"/>
          <w:szCs w:val="24"/>
        </w:rPr>
      </w:pPr>
    </w:p>
    <w:p>
      <w:pPr>
        <w:adjustRightInd w:val="0"/>
        <w:snapToGrid w:val="0"/>
        <w:spacing w:line="400" w:lineRule="exact"/>
        <w:ind w:left="-88" w:leftChars="-42" w:firstLine="133" w:firstLineChars="50"/>
      </w:pPr>
      <w:r>
        <w:rPr>
          <w:rFonts w:hint="eastAsia" w:ascii="宋体"/>
          <w:spacing w:val="28"/>
          <w:szCs w:val="21"/>
        </w:rPr>
        <w:t>项目名称：            项目编号</w:t>
      </w:r>
      <w:r>
        <w:rPr>
          <w:rFonts w:hint="eastAsia" w:ascii="宋体"/>
          <w:szCs w:val="21"/>
        </w:rPr>
        <w:t>:____________</w:t>
      </w:r>
    </w:p>
    <w:tbl>
      <w:tblPr>
        <w:tblStyle w:val="37"/>
        <w:tblW w:w="824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7"/>
        <w:gridCol w:w="1218"/>
        <w:gridCol w:w="1258"/>
        <w:gridCol w:w="1478"/>
        <w:gridCol w:w="2565"/>
        <w:gridCol w:w="11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7" w:type="dxa"/>
            <w:noWrap/>
          </w:tcPr>
          <w:p>
            <w:pPr>
              <w:adjustRightInd w:val="0"/>
              <w:snapToGrid w:val="0"/>
              <w:spacing w:line="400" w:lineRule="exact"/>
              <w:ind w:left="-88" w:leftChars="-42"/>
              <w:jc w:val="center"/>
              <w:rPr>
                <w:rFonts w:ascii="宋体"/>
                <w:b/>
                <w:szCs w:val="21"/>
              </w:rPr>
            </w:pPr>
            <w:r>
              <w:rPr>
                <w:rFonts w:hint="eastAsia" w:ascii="宋体"/>
                <w:bCs/>
                <w:szCs w:val="21"/>
              </w:rPr>
              <w:t>序号</w:t>
            </w:r>
          </w:p>
        </w:tc>
        <w:tc>
          <w:tcPr>
            <w:tcW w:w="1218" w:type="dxa"/>
            <w:noWrap/>
          </w:tcPr>
          <w:p>
            <w:pPr>
              <w:adjustRightInd w:val="0"/>
              <w:snapToGrid w:val="0"/>
              <w:spacing w:line="400" w:lineRule="exact"/>
              <w:ind w:left="-88" w:leftChars="-42"/>
              <w:jc w:val="center"/>
              <w:rPr>
                <w:rFonts w:ascii="宋体"/>
                <w:b/>
                <w:szCs w:val="21"/>
              </w:rPr>
            </w:pPr>
            <w:r>
              <w:rPr>
                <w:rFonts w:hint="eastAsia" w:ascii="宋体"/>
                <w:bCs/>
                <w:szCs w:val="21"/>
              </w:rPr>
              <w:t>货物名称</w:t>
            </w:r>
          </w:p>
        </w:tc>
        <w:tc>
          <w:tcPr>
            <w:tcW w:w="1258" w:type="dxa"/>
            <w:noWrap/>
          </w:tcPr>
          <w:p>
            <w:pPr>
              <w:adjustRightInd w:val="0"/>
              <w:snapToGrid w:val="0"/>
              <w:spacing w:line="400" w:lineRule="exact"/>
              <w:ind w:left="-88" w:leftChars="-42"/>
              <w:jc w:val="center"/>
              <w:rPr>
                <w:rFonts w:ascii="宋体"/>
                <w:b/>
                <w:szCs w:val="21"/>
              </w:rPr>
            </w:pPr>
            <w:r>
              <w:rPr>
                <w:rFonts w:hint="eastAsia" w:ascii="宋体"/>
                <w:bCs/>
                <w:szCs w:val="21"/>
              </w:rPr>
              <w:t>制造商名称</w:t>
            </w:r>
          </w:p>
        </w:tc>
        <w:tc>
          <w:tcPr>
            <w:tcW w:w="1478" w:type="dxa"/>
            <w:noWrap/>
          </w:tcPr>
          <w:p>
            <w:pPr>
              <w:adjustRightInd w:val="0"/>
              <w:snapToGrid w:val="0"/>
              <w:spacing w:line="400" w:lineRule="exact"/>
              <w:ind w:left="-88" w:leftChars="-42"/>
              <w:jc w:val="center"/>
              <w:rPr>
                <w:rFonts w:ascii="宋体"/>
                <w:b/>
                <w:szCs w:val="21"/>
              </w:rPr>
            </w:pPr>
            <w:r>
              <w:rPr>
                <w:rFonts w:hint="eastAsia" w:ascii="宋体"/>
                <w:bCs/>
                <w:szCs w:val="21"/>
              </w:rPr>
              <w:t>器物型号规格</w:t>
            </w:r>
          </w:p>
        </w:tc>
        <w:tc>
          <w:tcPr>
            <w:tcW w:w="2565" w:type="dxa"/>
            <w:noWrap/>
          </w:tcPr>
          <w:p>
            <w:pPr>
              <w:adjustRightInd w:val="0"/>
              <w:snapToGrid w:val="0"/>
              <w:spacing w:line="400" w:lineRule="exact"/>
              <w:ind w:left="-88" w:leftChars="-42"/>
              <w:jc w:val="center"/>
              <w:rPr>
                <w:rFonts w:ascii="宋体"/>
                <w:b/>
                <w:szCs w:val="21"/>
              </w:rPr>
            </w:pPr>
            <w:r>
              <w:rPr>
                <w:rFonts w:hint="eastAsia" w:ascii="宋体"/>
                <w:bCs/>
                <w:szCs w:val="21"/>
              </w:rPr>
              <w:t>主要技术参数和技术指标</w:t>
            </w:r>
          </w:p>
        </w:tc>
        <w:tc>
          <w:tcPr>
            <w:tcW w:w="1108" w:type="dxa"/>
            <w:noWrap/>
          </w:tcPr>
          <w:p>
            <w:pPr>
              <w:adjustRightInd w:val="0"/>
              <w:snapToGrid w:val="0"/>
              <w:spacing w:line="400" w:lineRule="exact"/>
              <w:ind w:left="-88" w:leftChars="-42"/>
              <w:jc w:val="center"/>
              <w:rPr>
                <w:rFonts w:ascii="宋体"/>
                <w:b/>
                <w:szCs w:val="21"/>
              </w:rPr>
            </w:pPr>
            <w:r>
              <w:rPr>
                <w:rFonts w:hint="eastAsia" w:ascii="宋体"/>
                <w:bCs/>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7" w:type="dxa"/>
            <w:noWrap/>
          </w:tcPr>
          <w:p>
            <w:pPr>
              <w:adjustRightInd w:val="0"/>
              <w:snapToGrid w:val="0"/>
              <w:spacing w:line="400" w:lineRule="exact"/>
              <w:ind w:left="-88" w:leftChars="-42"/>
              <w:jc w:val="center"/>
              <w:rPr>
                <w:rFonts w:ascii="宋体"/>
                <w:b/>
                <w:szCs w:val="21"/>
              </w:rPr>
            </w:pPr>
          </w:p>
        </w:tc>
        <w:tc>
          <w:tcPr>
            <w:tcW w:w="1218" w:type="dxa"/>
            <w:noWrap/>
          </w:tcPr>
          <w:p>
            <w:pPr>
              <w:adjustRightInd w:val="0"/>
              <w:snapToGrid w:val="0"/>
              <w:spacing w:line="400" w:lineRule="exact"/>
              <w:ind w:left="-88" w:leftChars="-42"/>
              <w:jc w:val="center"/>
              <w:rPr>
                <w:rFonts w:ascii="宋体"/>
                <w:b/>
                <w:szCs w:val="21"/>
              </w:rPr>
            </w:pPr>
          </w:p>
        </w:tc>
        <w:tc>
          <w:tcPr>
            <w:tcW w:w="1258" w:type="dxa"/>
            <w:noWrap/>
          </w:tcPr>
          <w:p>
            <w:pPr>
              <w:adjustRightInd w:val="0"/>
              <w:snapToGrid w:val="0"/>
              <w:spacing w:line="400" w:lineRule="exact"/>
              <w:ind w:left="-88" w:leftChars="-42"/>
              <w:jc w:val="center"/>
              <w:rPr>
                <w:rFonts w:ascii="宋体"/>
                <w:b/>
                <w:szCs w:val="21"/>
              </w:rPr>
            </w:pPr>
          </w:p>
        </w:tc>
        <w:tc>
          <w:tcPr>
            <w:tcW w:w="1478" w:type="dxa"/>
            <w:noWrap/>
          </w:tcPr>
          <w:p>
            <w:pPr>
              <w:adjustRightInd w:val="0"/>
              <w:snapToGrid w:val="0"/>
              <w:spacing w:line="400" w:lineRule="exact"/>
              <w:ind w:left="-88" w:leftChars="-42"/>
              <w:jc w:val="center"/>
              <w:rPr>
                <w:rFonts w:ascii="宋体"/>
                <w:b/>
                <w:szCs w:val="21"/>
              </w:rPr>
            </w:pPr>
          </w:p>
        </w:tc>
        <w:tc>
          <w:tcPr>
            <w:tcW w:w="2565" w:type="dxa"/>
            <w:noWrap/>
          </w:tcPr>
          <w:p>
            <w:pPr>
              <w:adjustRightInd w:val="0"/>
              <w:snapToGrid w:val="0"/>
              <w:spacing w:line="400" w:lineRule="exact"/>
              <w:ind w:left="-88" w:leftChars="-42"/>
              <w:jc w:val="center"/>
              <w:rPr>
                <w:rFonts w:ascii="宋体"/>
                <w:b/>
                <w:szCs w:val="21"/>
              </w:rPr>
            </w:pPr>
          </w:p>
        </w:tc>
        <w:tc>
          <w:tcPr>
            <w:tcW w:w="1108" w:type="dxa"/>
            <w:noWrap/>
          </w:tcPr>
          <w:p>
            <w:pPr>
              <w:adjustRightInd w:val="0"/>
              <w:snapToGrid w:val="0"/>
              <w:spacing w:line="400" w:lineRule="exact"/>
              <w:ind w:left="-88" w:leftChars="-42"/>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7" w:type="dxa"/>
            <w:noWrap/>
          </w:tcPr>
          <w:p>
            <w:pPr>
              <w:adjustRightInd w:val="0"/>
              <w:snapToGrid w:val="0"/>
              <w:spacing w:line="400" w:lineRule="exact"/>
              <w:ind w:left="-88" w:leftChars="-42"/>
              <w:jc w:val="center"/>
              <w:rPr>
                <w:rFonts w:ascii="宋体"/>
                <w:b/>
                <w:szCs w:val="21"/>
              </w:rPr>
            </w:pPr>
          </w:p>
        </w:tc>
        <w:tc>
          <w:tcPr>
            <w:tcW w:w="1218" w:type="dxa"/>
            <w:noWrap/>
          </w:tcPr>
          <w:p>
            <w:pPr>
              <w:adjustRightInd w:val="0"/>
              <w:snapToGrid w:val="0"/>
              <w:spacing w:line="400" w:lineRule="exact"/>
              <w:ind w:left="-88" w:leftChars="-42"/>
              <w:jc w:val="center"/>
              <w:rPr>
                <w:rFonts w:ascii="宋体"/>
                <w:b/>
                <w:szCs w:val="21"/>
              </w:rPr>
            </w:pPr>
          </w:p>
        </w:tc>
        <w:tc>
          <w:tcPr>
            <w:tcW w:w="1258" w:type="dxa"/>
            <w:noWrap/>
          </w:tcPr>
          <w:p>
            <w:pPr>
              <w:adjustRightInd w:val="0"/>
              <w:snapToGrid w:val="0"/>
              <w:spacing w:line="400" w:lineRule="exact"/>
              <w:ind w:left="-88" w:leftChars="-42"/>
              <w:jc w:val="center"/>
              <w:rPr>
                <w:rFonts w:ascii="宋体"/>
                <w:b/>
                <w:szCs w:val="21"/>
              </w:rPr>
            </w:pPr>
          </w:p>
        </w:tc>
        <w:tc>
          <w:tcPr>
            <w:tcW w:w="1478" w:type="dxa"/>
            <w:noWrap/>
          </w:tcPr>
          <w:p>
            <w:pPr>
              <w:adjustRightInd w:val="0"/>
              <w:snapToGrid w:val="0"/>
              <w:spacing w:line="400" w:lineRule="exact"/>
              <w:ind w:left="-88" w:leftChars="-42"/>
              <w:jc w:val="center"/>
              <w:rPr>
                <w:rFonts w:ascii="宋体"/>
                <w:b/>
                <w:szCs w:val="21"/>
              </w:rPr>
            </w:pPr>
          </w:p>
        </w:tc>
        <w:tc>
          <w:tcPr>
            <w:tcW w:w="2565" w:type="dxa"/>
            <w:noWrap/>
          </w:tcPr>
          <w:p>
            <w:pPr>
              <w:adjustRightInd w:val="0"/>
              <w:snapToGrid w:val="0"/>
              <w:spacing w:line="400" w:lineRule="exact"/>
              <w:ind w:left="-88" w:leftChars="-42"/>
              <w:jc w:val="center"/>
              <w:rPr>
                <w:rFonts w:ascii="宋体"/>
                <w:b/>
                <w:szCs w:val="21"/>
              </w:rPr>
            </w:pPr>
          </w:p>
        </w:tc>
        <w:tc>
          <w:tcPr>
            <w:tcW w:w="1108" w:type="dxa"/>
            <w:noWrap/>
          </w:tcPr>
          <w:p>
            <w:pPr>
              <w:adjustRightInd w:val="0"/>
              <w:snapToGrid w:val="0"/>
              <w:spacing w:line="400" w:lineRule="exact"/>
              <w:ind w:left="-88" w:leftChars="-42"/>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7" w:type="dxa"/>
            <w:noWrap/>
          </w:tcPr>
          <w:p>
            <w:pPr>
              <w:adjustRightInd w:val="0"/>
              <w:snapToGrid w:val="0"/>
              <w:spacing w:line="400" w:lineRule="exact"/>
              <w:ind w:left="-88" w:leftChars="-42"/>
              <w:jc w:val="center"/>
              <w:rPr>
                <w:rFonts w:ascii="宋体"/>
                <w:b/>
                <w:szCs w:val="21"/>
              </w:rPr>
            </w:pPr>
          </w:p>
        </w:tc>
        <w:tc>
          <w:tcPr>
            <w:tcW w:w="1218" w:type="dxa"/>
            <w:noWrap/>
          </w:tcPr>
          <w:p>
            <w:pPr>
              <w:adjustRightInd w:val="0"/>
              <w:snapToGrid w:val="0"/>
              <w:spacing w:line="400" w:lineRule="exact"/>
              <w:ind w:left="-88" w:leftChars="-42"/>
              <w:jc w:val="center"/>
              <w:rPr>
                <w:rFonts w:ascii="宋体"/>
                <w:b/>
                <w:szCs w:val="21"/>
              </w:rPr>
            </w:pPr>
          </w:p>
        </w:tc>
        <w:tc>
          <w:tcPr>
            <w:tcW w:w="1258" w:type="dxa"/>
            <w:noWrap/>
          </w:tcPr>
          <w:p>
            <w:pPr>
              <w:adjustRightInd w:val="0"/>
              <w:snapToGrid w:val="0"/>
              <w:spacing w:line="400" w:lineRule="exact"/>
              <w:ind w:left="-88" w:leftChars="-42"/>
              <w:jc w:val="center"/>
              <w:rPr>
                <w:rFonts w:ascii="宋体"/>
                <w:b/>
                <w:szCs w:val="21"/>
              </w:rPr>
            </w:pPr>
          </w:p>
        </w:tc>
        <w:tc>
          <w:tcPr>
            <w:tcW w:w="1478" w:type="dxa"/>
            <w:noWrap/>
          </w:tcPr>
          <w:p>
            <w:pPr>
              <w:adjustRightInd w:val="0"/>
              <w:snapToGrid w:val="0"/>
              <w:spacing w:line="400" w:lineRule="exact"/>
              <w:ind w:left="-88" w:leftChars="-42"/>
              <w:jc w:val="center"/>
              <w:rPr>
                <w:rFonts w:ascii="宋体"/>
                <w:b/>
                <w:szCs w:val="21"/>
              </w:rPr>
            </w:pPr>
          </w:p>
        </w:tc>
        <w:tc>
          <w:tcPr>
            <w:tcW w:w="2565" w:type="dxa"/>
            <w:noWrap/>
          </w:tcPr>
          <w:p>
            <w:pPr>
              <w:adjustRightInd w:val="0"/>
              <w:snapToGrid w:val="0"/>
              <w:spacing w:line="400" w:lineRule="exact"/>
              <w:ind w:left="-88" w:leftChars="-42"/>
              <w:jc w:val="center"/>
              <w:rPr>
                <w:rFonts w:ascii="宋体"/>
                <w:b/>
                <w:szCs w:val="21"/>
              </w:rPr>
            </w:pPr>
          </w:p>
        </w:tc>
        <w:tc>
          <w:tcPr>
            <w:tcW w:w="1108" w:type="dxa"/>
            <w:noWrap/>
          </w:tcPr>
          <w:p>
            <w:pPr>
              <w:adjustRightInd w:val="0"/>
              <w:snapToGrid w:val="0"/>
              <w:spacing w:line="400" w:lineRule="exact"/>
              <w:ind w:left="-88" w:leftChars="-42"/>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7" w:type="dxa"/>
            <w:noWrap/>
          </w:tcPr>
          <w:p>
            <w:pPr>
              <w:adjustRightInd w:val="0"/>
              <w:snapToGrid w:val="0"/>
              <w:spacing w:line="400" w:lineRule="exact"/>
              <w:ind w:left="-88" w:leftChars="-42"/>
              <w:jc w:val="center"/>
              <w:rPr>
                <w:rFonts w:ascii="宋体"/>
                <w:b/>
                <w:szCs w:val="21"/>
              </w:rPr>
            </w:pPr>
          </w:p>
        </w:tc>
        <w:tc>
          <w:tcPr>
            <w:tcW w:w="1218" w:type="dxa"/>
            <w:noWrap/>
          </w:tcPr>
          <w:p>
            <w:pPr>
              <w:adjustRightInd w:val="0"/>
              <w:snapToGrid w:val="0"/>
              <w:spacing w:line="400" w:lineRule="exact"/>
              <w:ind w:left="-88" w:leftChars="-42"/>
              <w:jc w:val="center"/>
              <w:rPr>
                <w:rFonts w:ascii="宋体"/>
                <w:b/>
                <w:szCs w:val="21"/>
              </w:rPr>
            </w:pPr>
          </w:p>
        </w:tc>
        <w:tc>
          <w:tcPr>
            <w:tcW w:w="1258" w:type="dxa"/>
            <w:noWrap/>
          </w:tcPr>
          <w:p>
            <w:pPr>
              <w:adjustRightInd w:val="0"/>
              <w:snapToGrid w:val="0"/>
              <w:spacing w:line="400" w:lineRule="exact"/>
              <w:ind w:left="-88" w:leftChars="-42"/>
              <w:jc w:val="center"/>
              <w:rPr>
                <w:rFonts w:ascii="宋体"/>
                <w:b/>
                <w:szCs w:val="21"/>
              </w:rPr>
            </w:pPr>
          </w:p>
        </w:tc>
        <w:tc>
          <w:tcPr>
            <w:tcW w:w="1478" w:type="dxa"/>
            <w:noWrap/>
          </w:tcPr>
          <w:p>
            <w:pPr>
              <w:adjustRightInd w:val="0"/>
              <w:snapToGrid w:val="0"/>
              <w:spacing w:line="400" w:lineRule="exact"/>
              <w:ind w:left="-88" w:leftChars="-42"/>
              <w:jc w:val="center"/>
              <w:rPr>
                <w:rFonts w:ascii="宋体"/>
                <w:b/>
                <w:szCs w:val="21"/>
              </w:rPr>
            </w:pPr>
          </w:p>
        </w:tc>
        <w:tc>
          <w:tcPr>
            <w:tcW w:w="2565" w:type="dxa"/>
            <w:noWrap/>
          </w:tcPr>
          <w:p>
            <w:pPr>
              <w:adjustRightInd w:val="0"/>
              <w:snapToGrid w:val="0"/>
              <w:spacing w:line="400" w:lineRule="exact"/>
              <w:ind w:left="-88" w:leftChars="-42"/>
              <w:jc w:val="center"/>
              <w:rPr>
                <w:rFonts w:ascii="宋体"/>
                <w:b/>
                <w:szCs w:val="21"/>
              </w:rPr>
            </w:pPr>
          </w:p>
        </w:tc>
        <w:tc>
          <w:tcPr>
            <w:tcW w:w="1108" w:type="dxa"/>
            <w:noWrap/>
          </w:tcPr>
          <w:p>
            <w:pPr>
              <w:adjustRightInd w:val="0"/>
              <w:snapToGrid w:val="0"/>
              <w:spacing w:line="400" w:lineRule="exact"/>
              <w:ind w:left="-88" w:leftChars="-42"/>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7" w:type="dxa"/>
            <w:noWrap/>
          </w:tcPr>
          <w:p>
            <w:pPr>
              <w:adjustRightInd w:val="0"/>
              <w:snapToGrid w:val="0"/>
              <w:spacing w:line="400" w:lineRule="exact"/>
              <w:ind w:left="-88" w:leftChars="-42"/>
              <w:jc w:val="center"/>
              <w:rPr>
                <w:rFonts w:ascii="宋体"/>
                <w:b/>
                <w:szCs w:val="21"/>
              </w:rPr>
            </w:pPr>
          </w:p>
        </w:tc>
        <w:tc>
          <w:tcPr>
            <w:tcW w:w="1218" w:type="dxa"/>
            <w:noWrap/>
          </w:tcPr>
          <w:p>
            <w:pPr>
              <w:adjustRightInd w:val="0"/>
              <w:snapToGrid w:val="0"/>
              <w:spacing w:line="400" w:lineRule="exact"/>
              <w:ind w:left="-88" w:leftChars="-42"/>
              <w:jc w:val="center"/>
              <w:rPr>
                <w:rFonts w:ascii="宋体"/>
                <w:b/>
                <w:szCs w:val="21"/>
              </w:rPr>
            </w:pPr>
          </w:p>
        </w:tc>
        <w:tc>
          <w:tcPr>
            <w:tcW w:w="1258" w:type="dxa"/>
            <w:noWrap/>
          </w:tcPr>
          <w:p>
            <w:pPr>
              <w:adjustRightInd w:val="0"/>
              <w:snapToGrid w:val="0"/>
              <w:spacing w:line="400" w:lineRule="exact"/>
              <w:ind w:left="-88" w:leftChars="-42"/>
              <w:jc w:val="center"/>
              <w:rPr>
                <w:rFonts w:ascii="宋体"/>
                <w:b/>
                <w:szCs w:val="21"/>
              </w:rPr>
            </w:pPr>
          </w:p>
        </w:tc>
        <w:tc>
          <w:tcPr>
            <w:tcW w:w="1478" w:type="dxa"/>
            <w:noWrap/>
          </w:tcPr>
          <w:p>
            <w:pPr>
              <w:adjustRightInd w:val="0"/>
              <w:snapToGrid w:val="0"/>
              <w:spacing w:line="400" w:lineRule="exact"/>
              <w:ind w:left="-88" w:leftChars="-42"/>
              <w:jc w:val="center"/>
              <w:rPr>
                <w:rFonts w:ascii="宋体"/>
                <w:b/>
                <w:szCs w:val="21"/>
              </w:rPr>
            </w:pPr>
          </w:p>
        </w:tc>
        <w:tc>
          <w:tcPr>
            <w:tcW w:w="2565" w:type="dxa"/>
            <w:noWrap/>
          </w:tcPr>
          <w:p>
            <w:pPr>
              <w:adjustRightInd w:val="0"/>
              <w:snapToGrid w:val="0"/>
              <w:spacing w:line="400" w:lineRule="exact"/>
              <w:ind w:left="-88" w:leftChars="-42"/>
              <w:jc w:val="center"/>
              <w:rPr>
                <w:rFonts w:ascii="宋体"/>
                <w:b/>
                <w:szCs w:val="21"/>
              </w:rPr>
            </w:pPr>
          </w:p>
        </w:tc>
        <w:tc>
          <w:tcPr>
            <w:tcW w:w="1108" w:type="dxa"/>
            <w:noWrap/>
          </w:tcPr>
          <w:p>
            <w:pPr>
              <w:adjustRightInd w:val="0"/>
              <w:snapToGrid w:val="0"/>
              <w:spacing w:line="400" w:lineRule="exact"/>
              <w:ind w:left="-88" w:leftChars="-42"/>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7" w:type="dxa"/>
            <w:noWrap/>
          </w:tcPr>
          <w:p>
            <w:pPr>
              <w:adjustRightInd w:val="0"/>
              <w:snapToGrid w:val="0"/>
              <w:spacing w:line="400" w:lineRule="exact"/>
              <w:ind w:left="-88" w:leftChars="-42"/>
              <w:jc w:val="center"/>
              <w:rPr>
                <w:rFonts w:ascii="宋体"/>
                <w:b/>
                <w:szCs w:val="21"/>
              </w:rPr>
            </w:pPr>
          </w:p>
        </w:tc>
        <w:tc>
          <w:tcPr>
            <w:tcW w:w="1218" w:type="dxa"/>
            <w:noWrap/>
          </w:tcPr>
          <w:p>
            <w:pPr>
              <w:adjustRightInd w:val="0"/>
              <w:snapToGrid w:val="0"/>
              <w:spacing w:line="400" w:lineRule="exact"/>
              <w:ind w:left="-88" w:leftChars="-42"/>
              <w:jc w:val="center"/>
              <w:rPr>
                <w:rFonts w:ascii="宋体"/>
                <w:b/>
                <w:szCs w:val="21"/>
              </w:rPr>
            </w:pPr>
          </w:p>
        </w:tc>
        <w:tc>
          <w:tcPr>
            <w:tcW w:w="1258" w:type="dxa"/>
            <w:noWrap/>
          </w:tcPr>
          <w:p>
            <w:pPr>
              <w:adjustRightInd w:val="0"/>
              <w:snapToGrid w:val="0"/>
              <w:spacing w:line="400" w:lineRule="exact"/>
              <w:ind w:left="-88" w:leftChars="-42"/>
              <w:jc w:val="center"/>
              <w:rPr>
                <w:rFonts w:ascii="宋体"/>
                <w:b/>
                <w:szCs w:val="21"/>
              </w:rPr>
            </w:pPr>
          </w:p>
        </w:tc>
        <w:tc>
          <w:tcPr>
            <w:tcW w:w="1478" w:type="dxa"/>
            <w:noWrap/>
          </w:tcPr>
          <w:p>
            <w:pPr>
              <w:adjustRightInd w:val="0"/>
              <w:snapToGrid w:val="0"/>
              <w:spacing w:line="400" w:lineRule="exact"/>
              <w:ind w:left="-88" w:leftChars="-42"/>
              <w:jc w:val="center"/>
              <w:rPr>
                <w:rFonts w:ascii="宋体"/>
                <w:b/>
                <w:szCs w:val="21"/>
              </w:rPr>
            </w:pPr>
          </w:p>
        </w:tc>
        <w:tc>
          <w:tcPr>
            <w:tcW w:w="2565" w:type="dxa"/>
            <w:noWrap/>
          </w:tcPr>
          <w:p>
            <w:pPr>
              <w:adjustRightInd w:val="0"/>
              <w:snapToGrid w:val="0"/>
              <w:spacing w:line="400" w:lineRule="exact"/>
              <w:ind w:left="-88" w:leftChars="-42"/>
              <w:jc w:val="center"/>
              <w:rPr>
                <w:rFonts w:ascii="宋体"/>
                <w:b/>
                <w:szCs w:val="21"/>
              </w:rPr>
            </w:pPr>
          </w:p>
        </w:tc>
        <w:tc>
          <w:tcPr>
            <w:tcW w:w="1108" w:type="dxa"/>
            <w:noWrap/>
          </w:tcPr>
          <w:p>
            <w:pPr>
              <w:adjustRightInd w:val="0"/>
              <w:snapToGrid w:val="0"/>
              <w:spacing w:line="400" w:lineRule="exact"/>
              <w:ind w:left="-88" w:leftChars="-42"/>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17" w:type="dxa"/>
            <w:noWrap/>
          </w:tcPr>
          <w:p>
            <w:pPr>
              <w:adjustRightInd w:val="0"/>
              <w:snapToGrid w:val="0"/>
              <w:spacing w:line="400" w:lineRule="exact"/>
              <w:ind w:left="-88" w:leftChars="-42"/>
              <w:jc w:val="center"/>
              <w:rPr>
                <w:rFonts w:ascii="宋体"/>
                <w:b/>
                <w:szCs w:val="21"/>
              </w:rPr>
            </w:pPr>
          </w:p>
        </w:tc>
        <w:tc>
          <w:tcPr>
            <w:tcW w:w="1218" w:type="dxa"/>
            <w:noWrap/>
          </w:tcPr>
          <w:p>
            <w:pPr>
              <w:adjustRightInd w:val="0"/>
              <w:snapToGrid w:val="0"/>
              <w:spacing w:line="400" w:lineRule="exact"/>
              <w:ind w:left="-88" w:leftChars="-42"/>
              <w:jc w:val="center"/>
              <w:rPr>
                <w:rFonts w:ascii="宋体"/>
                <w:b/>
                <w:szCs w:val="21"/>
              </w:rPr>
            </w:pPr>
          </w:p>
        </w:tc>
        <w:tc>
          <w:tcPr>
            <w:tcW w:w="1258" w:type="dxa"/>
            <w:noWrap/>
          </w:tcPr>
          <w:p>
            <w:pPr>
              <w:adjustRightInd w:val="0"/>
              <w:snapToGrid w:val="0"/>
              <w:spacing w:line="400" w:lineRule="exact"/>
              <w:ind w:left="-88" w:leftChars="-42"/>
              <w:jc w:val="center"/>
              <w:rPr>
                <w:rFonts w:ascii="宋体"/>
                <w:b/>
                <w:szCs w:val="21"/>
              </w:rPr>
            </w:pPr>
          </w:p>
        </w:tc>
        <w:tc>
          <w:tcPr>
            <w:tcW w:w="1478" w:type="dxa"/>
            <w:noWrap/>
          </w:tcPr>
          <w:p>
            <w:pPr>
              <w:adjustRightInd w:val="0"/>
              <w:snapToGrid w:val="0"/>
              <w:spacing w:line="400" w:lineRule="exact"/>
              <w:ind w:left="-88" w:leftChars="-42"/>
              <w:jc w:val="center"/>
              <w:rPr>
                <w:rFonts w:ascii="宋体"/>
                <w:b/>
                <w:szCs w:val="21"/>
              </w:rPr>
            </w:pPr>
          </w:p>
        </w:tc>
        <w:tc>
          <w:tcPr>
            <w:tcW w:w="2565" w:type="dxa"/>
            <w:noWrap/>
          </w:tcPr>
          <w:p>
            <w:pPr>
              <w:adjustRightInd w:val="0"/>
              <w:snapToGrid w:val="0"/>
              <w:spacing w:line="400" w:lineRule="exact"/>
              <w:ind w:left="-88" w:leftChars="-42"/>
              <w:jc w:val="center"/>
              <w:rPr>
                <w:rFonts w:ascii="宋体"/>
                <w:b/>
                <w:szCs w:val="21"/>
              </w:rPr>
            </w:pPr>
          </w:p>
        </w:tc>
        <w:tc>
          <w:tcPr>
            <w:tcW w:w="1108" w:type="dxa"/>
            <w:noWrap/>
          </w:tcPr>
          <w:p>
            <w:pPr>
              <w:adjustRightInd w:val="0"/>
              <w:snapToGrid w:val="0"/>
              <w:spacing w:line="400" w:lineRule="exact"/>
              <w:ind w:left="-88" w:leftChars="-42"/>
              <w:jc w:val="center"/>
              <w:rPr>
                <w:rFonts w:ascii="宋体"/>
                <w:b/>
                <w:szCs w:val="21"/>
              </w:rPr>
            </w:pPr>
          </w:p>
        </w:tc>
      </w:tr>
    </w:tbl>
    <w:p>
      <w:pPr>
        <w:pStyle w:val="19"/>
        <w:adjustRightInd w:val="0"/>
        <w:snapToGrid w:val="0"/>
        <w:spacing w:line="400" w:lineRule="exact"/>
        <w:ind w:left="-88" w:leftChars="-42"/>
        <w:outlineLvl w:val="0"/>
        <w:rPr>
          <w:rFonts w:ascii="宋体"/>
          <w:bCs/>
          <w:sz w:val="21"/>
          <w:szCs w:val="21"/>
        </w:rPr>
      </w:pPr>
    </w:p>
    <w:p>
      <w:pPr>
        <w:pStyle w:val="179"/>
        <w:spacing w:line="400" w:lineRule="exact"/>
        <w:ind w:firstLine="422"/>
      </w:pPr>
      <w:r>
        <w:rPr>
          <w:rFonts w:hint="eastAsia"/>
          <w:b/>
        </w:rPr>
        <w:t>备注</w:t>
      </w:r>
      <w:r>
        <w:rPr>
          <w:rFonts w:hint="eastAsia"/>
        </w:rPr>
        <w:t>：货物的主要技术参数和技术指标可另页描述。</w:t>
      </w:r>
    </w:p>
    <w:p>
      <w:pPr>
        <w:adjustRightInd w:val="0"/>
        <w:snapToGrid w:val="0"/>
        <w:spacing w:line="400" w:lineRule="exact"/>
        <w:ind w:left="-88" w:leftChars="-42"/>
        <w:outlineLvl w:val="0"/>
        <w:rPr>
          <w:rFonts w:ascii="宋体"/>
          <w:szCs w:val="21"/>
        </w:rPr>
      </w:pPr>
    </w:p>
    <w:p>
      <w:pPr>
        <w:adjustRightInd w:val="0"/>
        <w:snapToGrid w:val="0"/>
        <w:spacing w:line="400" w:lineRule="exact"/>
        <w:ind w:left="-88" w:leftChars="-42"/>
        <w:outlineLvl w:val="0"/>
        <w:rPr>
          <w:rFonts w:ascii="宋体"/>
          <w:szCs w:val="21"/>
        </w:rPr>
      </w:pPr>
    </w:p>
    <w:p>
      <w:pPr>
        <w:adjustRightInd w:val="0"/>
        <w:snapToGrid w:val="0"/>
        <w:spacing w:before="50" w:line="400" w:lineRule="exact"/>
        <w:rPr>
          <w:rFonts w:ascii="宋体"/>
          <w:szCs w:val="21"/>
        </w:rPr>
      </w:pPr>
      <w:r>
        <w:rPr>
          <w:rFonts w:hint="eastAsia" w:ascii="宋体"/>
          <w:szCs w:val="21"/>
        </w:rPr>
        <w:t>供应商名称（单位章）：</w:t>
      </w:r>
    </w:p>
    <w:p>
      <w:pPr>
        <w:adjustRightInd w:val="0"/>
        <w:snapToGrid w:val="0"/>
        <w:spacing w:before="50" w:line="400" w:lineRule="exact"/>
        <w:rPr>
          <w:rFonts w:ascii="宋体"/>
          <w:szCs w:val="21"/>
        </w:rPr>
      </w:pPr>
      <w:r>
        <w:rPr>
          <w:rFonts w:hint="eastAsia" w:ascii="宋体"/>
          <w:szCs w:val="21"/>
        </w:rPr>
        <w:t>法定代表人或其授权的代理人(签字)：</w:t>
      </w:r>
    </w:p>
    <w:p>
      <w:pPr>
        <w:adjustRightInd w:val="0"/>
        <w:snapToGrid w:val="0"/>
        <w:spacing w:before="50" w:line="400" w:lineRule="exact"/>
        <w:rPr>
          <w:rFonts w:ascii="宋体"/>
          <w:szCs w:val="21"/>
        </w:rPr>
        <w:sectPr>
          <w:pgSz w:w="11906" w:h="16838"/>
          <w:pgMar w:top="1440" w:right="1588" w:bottom="1440" w:left="1588" w:header="851" w:footer="992" w:gutter="0"/>
          <w:cols w:space="720" w:num="1"/>
          <w:docGrid w:type="lines" w:linePitch="312" w:charSpace="0"/>
        </w:sectPr>
      </w:pPr>
      <w:r>
        <w:rPr>
          <w:rFonts w:hint="eastAsia" w:ascii="宋体"/>
          <w:szCs w:val="21"/>
        </w:rPr>
        <w:t>日期：年  月   日</w:t>
      </w:r>
    </w:p>
    <w:p>
      <w:pPr>
        <w:pStyle w:val="4"/>
        <w:spacing w:before="0" w:line="240" w:lineRule="atLeast"/>
        <w:ind w:left="0" w:firstLine="0"/>
        <w:rPr>
          <w:rFonts w:ascii="宋体" w:hAnsi="宋体" w:eastAsia="宋体"/>
          <w:sz w:val="24"/>
          <w:szCs w:val="24"/>
        </w:rPr>
      </w:pPr>
      <w:bookmarkStart w:id="267" w:name="_Toc84455596"/>
      <w:bookmarkStart w:id="268" w:name="_Toc29013_WPSOffice_Level3"/>
      <w:r>
        <w:rPr>
          <w:rFonts w:hint="eastAsia" w:ascii="宋体" w:hAnsi="宋体" w:eastAsia="宋体"/>
          <w:sz w:val="24"/>
          <w:szCs w:val="24"/>
        </w:rPr>
        <w:t>格式 8：技术规格、参数响应/偏离表</w:t>
      </w:r>
      <w:bookmarkEnd w:id="267"/>
      <w:bookmarkEnd w:id="268"/>
    </w:p>
    <w:p>
      <w:pPr>
        <w:adjustRightInd w:val="0"/>
        <w:snapToGrid w:val="0"/>
        <w:spacing w:line="400" w:lineRule="exact"/>
        <w:jc w:val="center"/>
        <w:rPr>
          <w:rFonts w:ascii="宋体"/>
          <w:b/>
        </w:rPr>
      </w:pPr>
    </w:p>
    <w:p>
      <w:pPr>
        <w:spacing w:line="360" w:lineRule="auto"/>
        <w:jc w:val="center"/>
        <w:rPr>
          <w:rFonts w:ascii="宋体"/>
          <w:b/>
          <w:bCs/>
          <w:sz w:val="28"/>
          <w:szCs w:val="28"/>
        </w:rPr>
      </w:pPr>
      <w:bookmarkStart w:id="269" w:name="_Toc60996695"/>
      <w:r>
        <w:rPr>
          <w:rFonts w:hint="eastAsia" w:ascii="宋体"/>
          <w:b/>
          <w:bCs/>
          <w:sz w:val="28"/>
          <w:szCs w:val="28"/>
        </w:rPr>
        <w:t>技术规格响应/偏离表</w:t>
      </w:r>
    </w:p>
    <w:p>
      <w:pPr>
        <w:spacing w:line="240" w:lineRule="atLeast"/>
        <w:ind w:firstLine="480" w:firstLineChars="200"/>
        <w:rPr>
          <w:rFonts w:ascii="宋体" w:hAnsi="宋体"/>
          <w:sz w:val="24"/>
        </w:rPr>
      </w:pPr>
      <w:r>
        <w:rPr>
          <w:rFonts w:hint="eastAsia" w:ascii="宋体" w:hAnsi="宋体"/>
          <w:sz w:val="24"/>
        </w:rPr>
        <w:t>供应商应按所投产品的实际技术参数，逐条对应谈判文件的第五章“技术规格、参数与要求”中要求的技术规范如实、完整、准确的填写该表。</w:t>
      </w:r>
    </w:p>
    <w:p>
      <w:pPr>
        <w:spacing w:line="240" w:lineRule="atLeast"/>
        <w:ind w:firstLine="480" w:firstLineChars="200"/>
        <w:rPr>
          <w:rFonts w:ascii="宋体" w:hAnsi="宋体"/>
          <w:sz w:val="24"/>
        </w:rPr>
      </w:pPr>
      <w:r>
        <w:rPr>
          <w:rFonts w:hint="eastAsia" w:ascii="宋体" w:hAnsi="宋体"/>
          <w:sz w:val="24"/>
        </w:rPr>
        <w:t>★本表格将作为谈判小组对供应商技术部分的评审依据，未填写本表格的供应商将不能通过初步评审。</w:t>
      </w:r>
    </w:p>
    <w:p>
      <w:pPr>
        <w:spacing w:line="360" w:lineRule="auto"/>
        <w:rPr>
          <w:rFonts w:ascii="宋体"/>
        </w:rPr>
      </w:pPr>
      <w:r>
        <w:rPr>
          <w:rFonts w:hint="eastAsia" w:ascii="宋体"/>
        </w:rPr>
        <w:t>项目名称：</w:t>
      </w:r>
      <w:r>
        <w:rPr>
          <w:rFonts w:hint="eastAsia" w:ascii="宋体"/>
          <w:u w:val="single"/>
        </w:rPr>
        <w:t xml:space="preserve">                  </w:t>
      </w:r>
      <w:r>
        <w:rPr>
          <w:rFonts w:hint="eastAsia" w:ascii="宋体"/>
        </w:rPr>
        <w:t xml:space="preserve">              项目编号：___________________</w:t>
      </w:r>
    </w:p>
    <w:tbl>
      <w:tblPr>
        <w:tblStyle w:val="37"/>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06"/>
        <w:gridCol w:w="3359"/>
        <w:gridCol w:w="2728"/>
        <w:gridCol w:w="109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62" w:type="dxa"/>
            <w:vAlign w:val="center"/>
          </w:tcPr>
          <w:p>
            <w:pPr>
              <w:jc w:val="center"/>
              <w:rPr>
                <w:rFonts w:ascii="宋体"/>
              </w:rPr>
            </w:pPr>
            <w:r>
              <w:rPr>
                <w:rFonts w:hint="eastAsia" w:ascii="宋体"/>
              </w:rPr>
              <w:t>序号</w:t>
            </w:r>
          </w:p>
        </w:tc>
        <w:tc>
          <w:tcPr>
            <w:tcW w:w="1106" w:type="dxa"/>
            <w:vAlign w:val="center"/>
          </w:tcPr>
          <w:p>
            <w:pPr>
              <w:jc w:val="center"/>
              <w:rPr>
                <w:rFonts w:ascii="宋体"/>
              </w:rPr>
            </w:pPr>
            <w:r>
              <w:rPr>
                <w:rFonts w:hint="eastAsia" w:ascii="宋体"/>
              </w:rPr>
              <w:t>货物名称</w:t>
            </w:r>
          </w:p>
        </w:tc>
        <w:tc>
          <w:tcPr>
            <w:tcW w:w="3359" w:type="dxa"/>
            <w:vAlign w:val="center"/>
          </w:tcPr>
          <w:p>
            <w:pPr>
              <w:jc w:val="center"/>
              <w:rPr>
                <w:rFonts w:ascii="宋体"/>
              </w:rPr>
            </w:pPr>
            <w:r>
              <w:rPr>
                <w:rFonts w:hint="eastAsia" w:ascii="宋体"/>
              </w:rPr>
              <w:t>谈判文件技术参数、要求</w:t>
            </w:r>
          </w:p>
        </w:tc>
        <w:tc>
          <w:tcPr>
            <w:tcW w:w="2728" w:type="dxa"/>
            <w:vAlign w:val="center"/>
          </w:tcPr>
          <w:p>
            <w:pPr>
              <w:jc w:val="center"/>
              <w:rPr>
                <w:rFonts w:ascii="宋体"/>
              </w:rPr>
            </w:pPr>
            <w:r>
              <w:rPr>
                <w:rFonts w:hint="eastAsia"/>
              </w:rPr>
              <w:t>投标品牌、型号、技术参数及配置</w:t>
            </w:r>
          </w:p>
        </w:tc>
        <w:tc>
          <w:tcPr>
            <w:tcW w:w="1090" w:type="dxa"/>
            <w:vAlign w:val="center"/>
          </w:tcPr>
          <w:p>
            <w:pPr>
              <w:jc w:val="center"/>
              <w:rPr>
                <w:rFonts w:ascii="宋体"/>
              </w:rPr>
            </w:pPr>
            <w:r>
              <w:rPr>
                <w:rFonts w:hint="eastAsia" w:ascii="宋体"/>
              </w:rPr>
              <w:t>响应/偏离</w:t>
            </w:r>
          </w:p>
        </w:tc>
        <w:tc>
          <w:tcPr>
            <w:tcW w:w="1975" w:type="dxa"/>
            <w:vAlign w:val="center"/>
          </w:tcPr>
          <w:p>
            <w:pPr>
              <w:jc w:val="center"/>
              <w:rPr>
                <w:rFonts w:ascii="宋体"/>
              </w:rPr>
            </w:pPr>
            <w:r>
              <w:rPr>
                <w:rFonts w:hint="eastAsia" w:asci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62" w:type="dxa"/>
            <w:vAlign w:val="center"/>
          </w:tcPr>
          <w:p>
            <w:pPr>
              <w:jc w:val="center"/>
              <w:rPr>
                <w:rFonts w:ascii="宋体"/>
              </w:rPr>
            </w:pPr>
          </w:p>
        </w:tc>
        <w:tc>
          <w:tcPr>
            <w:tcW w:w="1106" w:type="dxa"/>
            <w:vAlign w:val="center"/>
          </w:tcPr>
          <w:p>
            <w:pPr>
              <w:jc w:val="center"/>
              <w:rPr>
                <w:rFonts w:ascii="宋体"/>
              </w:rPr>
            </w:pPr>
          </w:p>
        </w:tc>
        <w:tc>
          <w:tcPr>
            <w:tcW w:w="3359" w:type="dxa"/>
            <w:vAlign w:val="center"/>
          </w:tcPr>
          <w:p>
            <w:pPr>
              <w:jc w:val="center"/>
              <w:rPr>
                <w:rFonts w:ascii="宋体"/>
              </w:rPr>
            </w:pPr>
          </w:p>
        </w:tc>
        <w:tc>
          <w:tcPr>
            <w:tcW w:w="2728" w:type="dxa"/>
            <w:vAlign w:val="center"/>
          </w:tcPr>
          <w:p>
            <w:pPr>
              <w:jc w:val="center"/>
              <w:rPr>
                <w:rFonts w:ascii="宋体"/>
              </w:rPr>
            </w:pPr>
          </w:p>
        </w:tc>
        <w:tc>
          <w:tcPr>
            <w:tcW w:w="1090" w:type="dxa"/>
            <w:vAlign w:val="center"/>
          </w:tcPr>
          <w:p>
            <w:pPr>
              <w:jc w:val="center"/>
              <w:rPr>
                <w:rFonts w:ascii="宋体"/>
              </w:rPr>
            </w:pPr>
          </w:p>
        </w:tc>
        <w:tc>
          <w:tcPr>
            <w:tcW w:w="1975"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62" w:type="dxa"/>
            <w:vAlign w:val="center"/>
          </w:tcPr>
          <w:p>
            <w:pPr>
              <w:jc w:val="center"/>
              <w:rPr>
                <w:rFonts w:ascii="宋体"/>
              </w:rPr>
            </w:pPr>
          </w:p>
        </w:tc>
        <w:tc>
          <w:tcPr>
            <w:tcW w:w="1106" w:type="dxa"/>
            <w:vAlign w:val="center"/>
          </w:tcPr>
          <w:p>
            <w:pPr>
              <w:jc w:val="center"/>
              <w:rPr>
                <w:rFonts w:ascii="宋体"/>
              </w:rPr>
            </w:pPr>
          </w:p>
        </w:tc>
        <w:tc>
          <w:tcPr>
            <w:tcW w:w="3359" w:type="dxa"/>
            <w:vAlign w:val="center"/>
          </w:tcPr>
          <w:p>
            <w:pPr>
              <w:jc w:val="center"/>
              <w:rPr>
                <w:rFonts w:ascii="宋体"/>
              </w:rPr>
            </w:pPr>
          </w:p>
        </w:tc>
        <w:tc>
          <w:tcPr>
            <w:tcW w:w="2728" w:type="dxa"/>
            <w:vAlign w:val="center"/>
          </w:tcPr>
          <w:p>
            <w:pPr>
              <w:jc w:val="center"/>
              <w:rPr>
                <w:rFonts w:ascii="宋体"/>
              </w:rPr>
            </w:pPr>
          </w:p>
        </w:tc>
        <w:tc>
          <w:tcPr>
            <w:tcW w:w="1090" w:type="dxa"/>
            <w:vAlign w:val="center"/>
          </w:tcPr>
          <w:p>
            <w:pPr>
              <w:jc w:val="center"/>
              <w:rPr>
                <w:rFonts w:ascii="宋体"/>
              </w:rPr>
            </w:pPr>
          </w:p>
        </w:tc>
        <w:tc>
          <w:tcPr>
            <w:tcW w:w="1975"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62" w:type="dxa"/>
            <w:vAlign w:val="center"/>
          </w:tcPr>
          <w:p>
            <w:pPr>
              <w:jc w:val="center"/>
              <w:rPr>
                <w:rFonts w:ascii="宋体"/>
              </w:rPr>
            </w:pPr>
          </w:p>
        </w:tc>
        <w:tc>
          <w:tcPr>
            <w:tcW w:w="1106" w:type="dxa"/>
            <w:vAlign w:val="center"/>
          </w:tcPr>
          <w:p>
            <w:pPr>
              <w:jc w:val="center"/>
              <w:rPr>
                <w:rFonts w:ascii="宋体"/>
              </w:rPr>
            </w:pPr>
          </w:p>
        </w:tc>
        <w:tc>
          <w:tcPr>
            <w:tcW w:w="3359" w:type="dxa"/>
            <w:vAlign w:val="center"/>
          </w:tcPr>
          <w:p>
            <w:pPr>
              <w:jc w:val="center"/>
              <w:rPr>
                <w:rFonts w:ascii="宋体"/>
              </w:rPr>
            </w:pPr>
          </w:p>
        </w:tc>
        <w:tc>
          <w:tcPr>
            <w:tcW w:w="2728" w:type="dxa"/>
            <w:vAlign w:val="center"/>
          </w:tcPr>
          <w:p>
            <w:pPr>
              <w:jc w:val="center"/>
              <w:rPr>
                <w:rFonts w:ascii="宋体"/>
              </w:rPr>
            </w:pPr>
          </w:p>
        </w:tc>
        <w:tc>
          <w:tcPr>
            <w:tcW w:w="1090" w:type="dxa"/>
            <w:vAlign w:val="center"/>
          </w:tcPr>
          <w:p>
            <w:pPr>
              <w:jc w:val="center"/>
              <w:rPr>
                <w:rFonts w:ascii="宋体"/>
              </w:rPr>
            </w:pPr>
          </w:p>
        </w:tc>
        <w:tc>
          <w:tcPr>
            <w:tcW w:w="1975"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62" w:type="dxa"/>
            <w:vAlign w:val="center"/>
          </w:tcPr>
          <w:p>
            <w:pPr>
              <w:jc w:val="center"/>
              <w:rPr>
                <w:rFonts w:ascii="宋体"/>
              </w:rPr>
            </w:pPr>
          </w:p>
        </w:tc>
        <w:tc>
          <w:tcPr>
            <w:tcW w:w="1106" w:type="dxa"/>
            <w:vAlign w:val="center"/>
          </w:tcPr>
          <w:p>
            <w:pPr>
              <w:jc w:val="center"/>
              <w:rPr>
                <w:rFonts w:ascii="宋体"/>
              </w:rPr>
            </w:pPr>
          </w:p>
        </w:tc>
        <w:tc>
          <w:tcPr>
            <w:tcW w:w="3359" w:type="dxa"/>
            <w:vAlign w:val="center"/>
          </w:tcPr>
          <w:p>
            <w:pPr>
              <w:jc w:val="center"/>
              <w:rPr>
                <w:rFonts w:ascii="宋体"/>
              </w:rPr>
            </w:pPr>
          </w:p>
        </w:tc>
        <w:tc>
          <w:tcPr>
            <w:tcW w:w="2728" w:type="dxa"/>
            <w:vAlign w:val="center"/>
          </w:tcPr>
          <w:p>
            <w:pPr>
              <w:jc w:val="center"/>
              <w:rPr>
                <w:rFonts w:ascii="宋体"/>
              </w:rPr>
            </w:pPr>
          </w:p>
        </w:tc>
        <w:tc>
          <w:tcPr>
            <w:tcW w:w="1090" w:type="dxa"/>
            <w:vAlign w:val="center"/>
          </w:tcPr>
          <w:p>
            <w:pPr>
              <w:jc w:val="center"/>
              <w:rPr>
                <w:rFonts w:ascii="宋体"/>
              </w:rPr>
            </w:pPr>
          </w:p>
        </w:tc>
        <w:tc>
          <w:tcPr>
            <w:tcW w:w="1975"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562" w:type="dxa"/>
            <w:vAlign w:val="center"/>
          </w:tcPr>
          <w:p>
            <w:pPr>
              <w:jc w:val="center"/>
              <w:rPr>
                <w:rFonts w:ascii="宋体"/>
              </w:rPr>
            </w:pPr>
          </w:p>
        </w:tc>
        <w:tc>
          <w:tcPr>
            <w:tcW w:w="1106" w:type="dxa"/>
            <w:vAlign w:val="center"/>
          </w:tcPr>
          <w:p>
            <w:pPr>
              <w:jc w:val="center"/>
              <w:rPr>
                <w:rFonts w:ascii="宋体"/>
              </w:rPr>
            </w:pPr>
          </w:p>
        </w:tc>
        <w:tc>
          <w:tcPr>
            <w:tcW w:w="3359" w:type="dxa"/>
            <w:vAlign w:val="center"/>
          </w:tcPr>
          <w:p>
            <w:pPr>
              <w:jc w:val="center"/>
              <w:rPr>
                <w:rFonts w:ascii="宋体"/>
              </w:rPr>
            </w:pPr>
          </w:p>
        </w:tc>
        <w:tc>
          <w:tcPr>
            <w:tcW w:w="2728" w:type="dxa"/>
            <w:vAlign w:val="center"/>
          </w:tcPr>
          <w:p>
            <w:pPr>
              <w:jc w:val="center"/>
              <w:rPr>
                <w:rFonts w:ascii="宋体"/>
              </w:rPr>
            </w:pPr>
          </w:p>
        </w:tc>
        <w:tc>
          <w:tcPr>
            <w:tcW w:w="1090" w:type="dxa"/>
            <w:vAlign w:val="center"/>
          </w:tcPr>
          <w:p>
            <w:pPr>
              <w:jc w:val="center"/>
              <w:rPr>
                <w:rFonts w:ascii="宋体"/>
              </w:rPr>
            </w:pPr>
          </w:p>
        </w:tc>
        <w:tc>
          <w:tcPr>
            <w:tcW w:w="1975" w:type="dxa"/>
            <w:vAlign w:val="center"/>
          </w:tcPr>
          <w:p>
            <w:pPr>
              <w:jc w:val="center"/>
              <w:rPr>
                <w:rFonts w:ascii="宋体"/>
              </w:rPr>
            </w:pPr>
          </w:p>
        </w:tc>
      </w:tr>
    </w:tbl>
    <w:p>
      <w:pPr>
        <w:spacing w:line="360" w:lineRule="auto"/>
        <w:ind w:firstLine="2" w:firstLineChars="1"/>
        <w:rPr>
          <w:rFonts w:ascii="宋体"/>
        </w:rPr>
      </w:pPr>
      <w:r>
        <w:rPr>
          <w:rFonts w:hint="eastAsia" w:ascii="宋体"/>
        </w:rPr>
        <w:t>供应商：（盖章）</w:t>
      </w:r>
    </w:p>
    <w:p>
      <w:pPr>
        <w:spacing w:line="360" w:lineRule="auto"/>
        <w:ind w:firstLine="2" w:firstLineChars="1"/>
        <w:rPr>
          <w:rFonts w:ascii="宋体"/>
        </w:rPr>
      </w:pPr>
      <w:r>
        <w:rPr>
          <w:rFonts w:hint="eastAsia" w:ascii="宋体"/>
        </w:rPr>
        <w:t>法定代表人或其委托代理人：（签字或盖章）</w:t>
      </w:r>
    </w:p>
    <w:p>
      <w:pPr>
        <w:spacing w:line="360" w:lineRule="auto"/>
        <w:ind w:firstLine="2" w:firstLineChars="1"/>
        <w:rPr>
          <w:rFonts w:ascii="宋体"/>
        </w:rPr>
      </w:pPr>
      <w:r>
        <w:rPr>
          <w:rFonts w:hint="eastAsia" w:ascii="宋体"/>
        </w:rPr>
        <w:t>年月日</w:t>
      </w:r>
    </w:p>
    <w:p>
      <w:pPr>
        <w:spacing w:line="240" w:lineRule="atLeast"/>
        <w:ind w:firstLine="480" w:firstLineChars="200"/>
        <w:rPr>
          <w:rFonts w:ascii="宋体" w:hAnsi="宋体"/>
          <w:sz w:val="24"/>
        </w:rPr>
      </w:pPr>
      <w:r>
        <w:rPr>
          <w:rFonts w:hint="eastAsia" w:ascii="宋体" w:hAnsi="宋体"/>
          <w:sz w:val="24"/>
        </w:rPr>
        <w:t>表格填写说明：</w:t>
      </w:r>
    </w:p>
    <w:p>
      <w:pPr>
        <w:spacing w:line="240" w:lineRule="atLeast"/>
        <w:ind w:firstLine="480" w:firstLineChars="200"/>
        <w:rPr>
          <w:rFonts w:ascii="宋体" w:hAnsi="宋体"/>
          <w:sz w:val="24"/>
        </w:rPr>
      </w:pPr>
      <w:r>
        <w:rPr>
          <w:rFonts w:hint="eastAsia" w:ascii="宋体" w:hAnsi="宋体"/>
          <w:sz w:val="24"/>
        </w:rPr>
        <w:t>1、表格中“货物名称”及“谈判文件技术参数、要求”可按第五章“技术规格、参数与要求”内容填写。</w:t>
      </w:r>
    </w:p>
    <w:p>
      <w:pPr>
        <w:spacing w:line="240" w:lineRule="atLeast"/>
        <w:ind w:firstLine="480" w:firstLineChars="200"/>
        <w:rPr>
          <w:rFonts w:ascii="宋体" w:hAnsi="宋体"/>
          <w:sz w:val="24"/>
        </w:rPr>
      </w:pPr>
      <w:r>
        <w:rPr>
          <w:rFonts w:hint="eastAsia" w:ascii="宋体" w:hAnsi="宋体"/>
          <w:sz w:val="24"/>
        </w:rPr>
        <w:t>2、表格中“投标品牌、型号、技术参数及配置”请供应商根据实际投标情况如实、完整、准确地填写，请勿复制、粘贴招标要求。若由于供应商的疏忽大意或未能完整、如实填写，导致的一切后果由供应商自行承担。</w:t>
      </w:r>
    </w:p>
    <w:p>
      <w:pPr>
        <w:spacing w:line="240" w:lineRule="atLeast"/>
        <w:ind w:firstLine="480" w:firstLineChars="200"/>
        <w:rPr>
          <w:rFonts w:ascii="宋体" w:hAnsi="宋体"/>
          <w:sz w:val="24"/>
        </w:rPr>
      </w:pPr>
      <w:r>
        <w:rPr>
          <w:rFonts w:ascii="宋体" w:hAnsi="宋体"/>
          <w:sz w:val="24"/>
        </w:rPr>
        <w:t>3</w:t>
      </w:r>
      <w:r>
        <w:rPr>
          <w:rFonts w:hint="eastAsia" w:ascii="宋体" w:hAnsi="宋体"/>
          <w:sz w:val="24"/>
        </w:rPr>
        <w:t>、表格中“偏离”部分，供应商只能如实填写“正偏离”或“负偏离”或“无偏离”。凡投标内容与谈判文件要求有区别的填写，并在说明栏中写明技术指标。</w:t>
      </w:r>
    </w:p>
    <w:p>
      <w:pPr>
        <w:spacing w:line="240" w:lineRule="atLeast"/>
        <w:ind w:firstLine="480" w:firstLineChars="200"/>
        <w:rPr>
          <w:rFonts w:ascii="宋体" w:hAnsi="宋体"/>
          <w:sz w:val="24"/>
        </w:rPr>
      </w:pPr>
      <w:r>
        <w:rPr>
          <w:rFonts w:hint="eastAsia" w:ascii="宋体" w:hAnsi="宋体"/>
          <w:sz w:val="24"/>
        </w:rPr>
        <w:t>4、表格中“说明”部分，若有偏离，则填写偏离指标。若无偏离，则不填写内容。</w:t>
      </w:r>
    </w:p>
    <w:p>
      <w:pPr>
        <w:spacing w:line="240" w:lineRule="atLeast"/>
        <w:ind w:firstLine="480" w:firstLineChars="200"/>
        <w:rPr>
          <w:rFonts w:ascii="宋体" w:hAnsi="宋体"/>
          <w:sz w:val="24"/>
        </w:rPr>
      </w:pPr>
      <w:r>
        <w:rPr>
          <w:rFonts w:ascii="宋体" w:hAnsi="宋体"/>
          <w:sz w:val="24"/>
        </w:rPr>
        <w:t>5</w:t>
      </w:r>
      <w:r>
        <w:rPr>
          <w:rFonts w:hint="eastAsia" w:ascii="宋体" w:hAnsi="宋体"/>
          <w:sz w:val="24"/>
        </w:rPr>
        <w:t>、本表格中内容与响应文件其余部分不一致的，以本表格为准。</w:t>
      </w:r>
    </w:p>
    <w:p>
      <w:pPr>
        <w:pStyle w:val="13"/>
        <w:rPr>
          <w:rFonts w:ascii="宋体" w:hAnsi="宋体"/>
        </w:rPr>
      </w:pPr>
    </w:p>
    <w:p>
      <w:pPr>
        <w:pStyle w:val="13"/>
        <w:rPr>
          <w:rFonts w:ascii="宋体" w:hAnsi="宋体"/>
        </w:rPr>
      </w:pPr>
    </w:p>
    <w:p>
      <w:pPr>
        <w:pStyle w:val="13"/>
        <w:rPr>
          <w:rFonts w:ascii="宋体" w:hAnsi="宋体"/>
        </w:rPr>
      </w:pPr>
    </w:p>
    <w:p>
      <w:pPr>
        <w:pStyle w:val="13"/>
        <w:rPr>
          <w:rFonts w:ascii="宋体" w:hAnsi="宋体"/>
        </w:rPr>
      </w:pPr>
    </w:p>
    <w:p>
      <w:pPr>
        <w:pStyle w:val="13"/>
        <w:rPr>
          <w:rFonts w:ascii="宋体" w:hAnsi="宋体"/>
        </w:rPr>
      </w:pPr>
    </w:p>
    <w:p>
      <w:pPr>
        <w:pStyle w:val="4"/>
        <w:spacing w:before="0" w:line="240" w:lineRule="atLeast"/>
        <w:ind w:left="0" w:firstLine="0"/>
        <w:rPr>
          <w:rFonts w:ascii="宋体" w:hAnsi="宋体" w:eastAsia="宋体"/>
          <w:sz w:val="24"/>
          <w:szCs w:val="24"/>
        </w:rPr>
      </w:pPr>
      <w:bookmarkStart w:id="270" w:name="_Toc4761_WPSOffice_Level3"/>
      <w:bookmarkStart w:id="271" w:name="_Toc84455597"/>
      <w:r>
        <w:rPr>
          <w:rFonts w:hint="eastAsia" w:ascii="宋体" w:hAnsi="宋体" w:eastAsia="宋体"/>
          <w:sz w:val="24"/>
          <w:szCs w:val="24"/>
        </w:rPr>
        <w:t>格式9：实施交货方案及说明</w:t>
      </w:r>
      <w:bookmarkEnd w:id="270"/>
      <w:bookmarkEnd w:id="271"/>
    </w:p>
    <w:p>
      <w:pPr>
        <w:pStyle w:val="13"/>
        <w:rPr>
          <w:rFonts w:ascii="宋体" w:hAnsi="宋体"/>
        </w:rPr>
      </w:pPr>
    </w:p>
    <w:p>
      <w:pPr>
        <w:pStyle w:val="13"/>
        <w:rPr>
          <w:rFonts w:ascii="宋体" w:hAnsi="宋体"/>
          <w:kern w:val="2"/>
        </w:rPr>
      </w:pPr>
      <w:r>
        <w:rPr>
          <w:rFonts w:hint="eastAsia" w:ascii="宋体" w:hAnsi="宋体"/>
          <w:kern w:val="2"/>
        </w:rPr>
        <w:t xml:space="preserve">    供应商对第五章“技术规格、参数与要求”的具体内容作出响应，提供实施交货方案，格式自拟。</w:t>
      </w:r>
    </w:p>
    <w:p>
      <w:pPr>
        <w:pStyle w:val="13"/>
        <w:spacing w:line="640" w:lineRule="exact"/>
        <w:rPr>
          <w:rFonts w:ascii="宋体" w:hAnsi="宋体"/>
        </w:rPr>
      </w:pPr>
      <w:bookmarkStart w:id="272" w:name="_Toc16348_WPSOffice_Level3"/>
      <w:bookmarkStart w:id="273" w:name="_Toc60996691"/>
      <w:bookmarkStart w:id="274" w:name="_Toc15869"/>
    </w:p>
    <w:p>
      <w:pPr>
        <w:pStyle w:val="4"/>
        <w:spacing w:before="0" w:line="240" w:lineRule="atLeast"/>
        <w:ind w:left="0" w:firstLine="0"/>
        <w:rPr>
          <w:rFonts w:ascii="宋体" w:hAnsi="宋体" w:eastAsia="宋体"/>
          <w:sz w:val="24"/>
          <w:szCs w:val="24"/>
        </w:rPr>
      </w:pPr>
      <w:bookmarkStart w:id="275" w:name="_Toc84455598"/>
      <w:r>
        <w:rPr>
          <w:rFonts w:hint="eastAsia" w:ascii="宋体" w:hAnsi="宋体" w:eastAsia="宋体"/>
          <w:sz w:val="24"/>
          <w:szCs w:val="24"/>
        </w:rPr>
        <w:t>格式10：</w:t>
      </w:r>
      <w:bookmarkEnd w:id="272"/>
      <w:bookmarkEnd w:id="273"/>
      <w:bookmarkEnd w:id="274"/>
      <w:r>
        <w:rPr>
          <w:rFonts w:hint="eastAsia" w:ascii="宋体" w:hAnsi="宋体" w:eastAsia="宋体"/>
          <w:sz w:val="24"/>
          <w:szCs w:val="24"/>
        </w:rPr>
        <w:t>质量保证和售后服务承诺书</w:t>
      </w:r>
      <w:bookmarkEnd w:id="275"/>
    </w:p>
    <w:p>
      <w:pPr>
        <w:pStyle w:val="4"/>
        <w:spacing w:before="0" w:line="240" w:lineRule="atLeast"/>
        <w:ind w:left="0" w:firstLine="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 xml:space="preserve">               </w:t>
      </w:r>
    </w:p>
    <w:p>
      <w:pPr>
        <w:jc w:val="center"/>
        <w:rPr>
          <w:rFonts w:ascii="宋体" w:hAnsi="宋体"/>
          <w:b/>
          <w:sz w:val="28"/>
          <w:szCs w:val="28"/>
        </w:rPr>
      </w:pPr>
      <w:r>
        <w:rPr>
          <w:rFonts w:hint="eastAsia" w:asciiTheme="minorEastAsia" w:hAnsiTheme="minorEastAsia" w:eastAsiaTheme="minorEastAsia"/>
          <w:b/>
          <w:bCs/>
          <w:sz w:val="28"/>
          <w:szCs w:val="28"/>
        </w:rPr>
        <w:t>（一）质量保证书</w:t>
      </w:r>
    </w:p>
    <w:p>
      <w:pPr>
        <w:spacing w:line="360" w:lineRule="auto"/>
        <w:rPr>
          <w:rFonts w:ascii="宋体"/>
          <w:sz w:val="24"/>
        </w:rPr>
      </w:pPr>
      <w:r>
        <w:rPr>
          <w:rFonts w:hint="eastAsia" w:ascii="宋体"/>
          <w:sz w:val="24"/>
        </w:rPr>
        <w:t>致：</w:t>
      </w:r>
      <w:r>
        <w:rPr>
          <w:rFonts w:hint="eastAsia" w:ascii="宋体"/>
          <w:sz w:val="24"/>
          <w:u w:val="single"/>
        </w:rPr>
        <w:t>（采购人）</w:t>
      </w:r>
    </w:p>
    <w:p>
      <w:pPr>
        <w:spacing w:line="360" w:lineRule="auto"/>
        <w:ind w:firstLine="480" w:firstLineChars="200"/>
        <w:rPr>
          <w:rFonts w:ascii="宋体"/>
          <w:sz w:val="24"/>
        </w:rPr>
      </w:pPr>
      <w:r>
        <w:rPr>
          <w:rFonts w:hint="eastAsia" w:ascii="宋体"/>
          <w:sz w:val="24"/>
        </w:rPr>
        <w:t>本保证书作为</w:t>
      </w:r>
      <w:r>
        <w:rPr>
          <w:rFonts w:hint="eastAsia" w:ascii="宋体"/>
          <w:sz w:val="24"/>
          <w:u w:val="single"/>
        </w:rPr>
        <w:t>（供应商名称）</w:t>
      </w:r>
      <w:r>
        <w:rPr>
          <w:rFonts w:hint="eastAsia" w:ascii="宋体"/>
          <w:sz w:val="24"/>
        </w:rPr>
        <w:t>对</w:t>
      </w:r>
      <w:r>
        <w:rPr>
          <w:rFonts w:ascii="宋体"/>
          <w:sz w:val="24"/>
        </w:rPr>
        <w:t>_______________</w:t>
      </w:r>
      <w:r>
        <w:rPr>
          <w:rFonts w:hint="eastAsia" w:ascii="宋体"/>
          <w:sz w:val="24"/>
        </w:rPr>
        <w:t>项目（项目编号：</w:t>
      </w:r>
      <w:r>
        <w:rPr>
          <w:rFonts w:ascii="宋体"/>
          <w:sz w:val="24"/>
        </w:rPr>
        <w:t>__________</w:t>
      </w:r>
      <w:r>
        <w:rPr>
          <w:rFonts w:hint="eastAsia" w:ascii="宋体"/>
          <w:sz w:val="24"/>
        </w:rPr>
        <w:t>）提供的质量和服务的保证。</w:t>
      </w:r>
    </w:p>
    <w:p>
      <w:pPr>
        <w:spacing w:line="360" w:lineRule="auto"/>
        <w:ind w:firstLine="480" w:firstLineChars="200"/>
        <w:rPr>
          <w:rFonts w:ascii="宋体"/>
          <w:sz w:val="24"/>
        </w:rPr>
      </w:pPr>
      <w:r>
        <w:rPr>
          <w:rFonts w:hint="eastAsia" w:ascii="宋体"/>
          <w:sz w:val="24"/>
        </w:rPr>
        <w:t>我方承诺提供以下质量保证并承担相应的法律责任：</w:t>
      </w:r>
    </w:p>
    <w:p>
      <w:pPr>
        <w:spacing w:line="360" w:lineRule="auto"/>
        <w:ind w:firstLine="480" w:firstLineChars="200"/>
        <w:rPr>
          <w:rFonts w:ascii="宋体"/>
          <w:sz w:val="24"/>
        </w:rPr>
      </w:pPr>
      <w:r>
        <w:rPr>
          <w:rFonts w:ascii="宋体"/>
          <w:sz w:val="24"/>
        </w:rPr>
        <w:t xml:space="preserve">1. </w:t>
      </w:r>
      <w:r>
        <w:rPr>
          <w:rFonts w:hint="eastAsia" w:ascii="宋体"/>
          <w:sz w:val="24"/>
        </w:rPr>
        <w:t>提供的货物是全新的、符合国家质量标准、国家有关部门手续完备、具有生产厂家质量保证书（或合格证明）的产品；</w:t>
      </w:r>
    </w:p>
    <w:p>
      <w:pPr>
        <w:spacing w:line="360" w:lineRule="auto"/>
        <w:ind w:firstLine="480" w:firstLineChars="200"/>
        <w:rPr>
          <w:rFonts w:ascii="宋体"/>
          <w:sz w:val="24"/>
        </w:rPr>
      </w:pPr>
      <w:r>
        <w:rPr>
          <w:rFonts w:ascii="宋体"/>
          <w:sz w:val="24"/>
        </w:rPr>
        <w:t xml:space="preserve">2. </w:t>
      </w:r>
      <w:r>
        <w:rPr>
          <w:rFonts w:hint="eastAsia" w:ascii="宋体"/>
          <w:sz w:val="24"/>
        </w:rPr>
        <w:t>提供的货物符合响应文件承诺和所签合同规定的技术要求；</w:t>
      </w:r>
    </w:p>
    <w:p>
      <w:pPr>
        <w:spacing w:line="360" w:lineRule="auto"/>
        <w:ind w:firstLine="480" w:firstLineChars="200"/>
        <w:rPr>
          <w:rFonts w:ascii="宋体"/>
          <w:sz w:val="24"/>
        </w:rPr>
      </w:pPr>
      <w:r>
        <w:rPr>
          <w:rFonts w:ascii="宋体"/>
          <w:sz w:val="24"/>
        </w:rPr>
        <w:t xml:space="preserve">3. </w:t>
      </w:r>
      <w:r>
        <w:rPr>
          <w:rFonts w:hint="eastAsia" w:ascii="宋体"/>
          <w:sz w:val="24"/>
        </w:rPr>
        <w:t>保证“售后服务承诺”全部内容的满足；</w:t>
      </w:r>
    </w:p>
    <w:p>
      <w:pPr>
        <w:spacing w:line="360" w:lineRule="auto"/>
        <w:ind w:firstLine="480" w:firstLineChars="200"/>
        <w:rPr>
          <w:rFonts w:ascii="宋体"/>
          <w:sz w:val="24"/>
        </w:rPr>
      </w:pPr>
      <w:r>
        <w:rPr>
          <w:rFonts w:ascii="宋体"/>
          <w:sz w:val="24"/>
        </w:rPr>
        <w:t xml:space="preserve">4. </w:t>
      </w:r>
      <w:r>
        <w:rPr>
          <w:rFonts w:hint="eastAsia" w:ascii="宋体"/>
          <w:sz w:val="24"/>
        </w:rPr>
        <w:t>对投标的货物，我单位承诺的性能保证如下：（请详细列明）</w:t>
      </w:r>
    </w:p>
    <w:p>
      <w:pPr>
        <w:spacing w:line="360" w:lineRule="auto"/>
        <w:ind w:firstLine="480" w:firstLineChars="200"/>
        <w:rPr>
          <w:rFonts w:ascii="宋体"/>
          <w:sz w:val="24"/>
        </w:rPr>
      </w:pPr>
      <w:r>
        <w:rPr>
          <w:rFonts w:ascii="宋体"/>
          <w:sz w:val="24"/>
        </w:rPr>
        <w:t>_______________________________________________________________________</w:t>
      </w:r>
    </w:p>
    <w:p>
      <w:pPr>
        <w:spacing w:line="360" w:lineRule="auto"/>
        <w:ind w:firstLine="480" w:firstLineChars="200"/>
        <w:rPr>
          <w:rFonts w:ascii="宋体"/>
          <w:sz w:val="24"/>
        </w:rPr>
      </w:pPr>
      <w:r>
        <w:rPr>
          <w:rFonts w:ascii="宋体"/>
          <w:sz w:val="24"/>
        </w:rPr>
        <w:t>_______________________________________________________________________</w:t>
      </w:r>
    </w:p>
    <w:p>
      <w:pPr>
        <w:spacing w:line="360" w:lineRule="auto"/>
        <w:ind w:firstLine="480" w:firstLineChars="200"/>
        <w:rPr>
          <w:rFonts w:ascii="宋体"/>
          <w:sz w:val="24"/>
        </w:rPr>
      </w:pPr>
      <w:r>
        <w:rPr>
          <w:rFonts w:hint="eastAsia" w:ascii="宋体"/>
          <w:sz w:val="24"/>
        </w:rPr>
        <w:t>本保证书自开标之日起有效，如我方中标则至货物保质期满为止有效。</w:t>
      </w:r>
    </w:p>
    <w:p>
      <w:pPr>
        <w:ind w:right="-693" w:rightChars="-330"/>
        <w:rPr>
          <w:rFonts w:ascii="宋体"/>
          <w:sz w:val="24"/>
        </w:rPr>
      </w:pPr>
    </w:p>
    <w:p>
      <w:pPr>
        <w:spacing w:line="360" w:lineRule="auto"/>
        <w:ind w:firstLine="2" w:firstLineChars="1"/>
        <w:rPr>
          <w:sz w:val="24"/>
        </w:rPr>
      </w:pPr>
      <w:r>
        <w:rPr>
          <w:rFonts w:hint="eastAsia"/>
          <w:sz w:val="24"/>
        </w:rPr>
        <w:t>供应商：（盖单位公章）</w:t>
      </w:r>
    </w:p>
    <w:p>
      <w:pPr>
        <w:spacing w:line="360" w:lineRule="auto"/>
        <w:ind w:firstLine="2" w:firstLineChars="1"/>
        <w:rPr>
          <w:sz w:val="24"/>
        </w:rPr>
      </w:pPr>
      <w:r>
        <w:rPr>
          <w:rFonts w:hint="eastAsia"/>
          <w:sz w:val="24"/>
        </w:rPr>
        <w:t>法定代表人：（</w:t>
      </w:r>
      <w:r>
        <w:rPr>
          <w:rFonts w:hint="eastAsia" w:ascii="宋体"/>
          <w:sz w:val="24"/>
        </w:rPr>
        <w:t>签名或盖章</w:t>
      </w:r>
      <w:r>
        <w:rPr>
          <w:rFonts w:hint="eastAsia"/>
          <w:sz w:val="24"/>
        </w:rPr>
        <w:t>）</w:t>
      </w:r>
    </w:p>
    <w:p>
      <w:pPr>
        <w:spacing w:line="360" w:lineRule="auto"/>
        <w:ind w:firstLine="480" w:firstLineChars="200"/>
        <w:rPr>
          <w:sz w:val="24"/>
        </w:rPr>
      </w:pPr>
      <w:r>
        <w:rPr>
          <w:rFonts w:hint="eastAsia"/>
          <w:sz w:val="24"/>
        </w:rPr>
        <w:t>年月日</w:t>
      </w:r>
    </w:p>
    <w:p>
      <w:pPr>
        <w:spacing w:line="360" w:lineRule="auto"/>
        <w:ind w:left="198"/>
        <w:rPr>
          <w:rFonts w:ascii="宋体"/>
          <w:sz w:val="24"/>
        </w:rPr>
      </w:pPr>
    </w:p>
    <w:p>
      <w:pPr>
        <w:spacing w:line="360" w:lineRule="auto"/>
        <w:ind w:left="198"/>
        <w:rPr>
          <w:rFonts w:ascii="宋体"/>
          <w:sz w:val="24"/>
        </w:rPr>
      </w:pPr>
    </w:p>
    <w:p>
      <w:pPr>
        <w:spacing w:line="360" w:lineRule="auto"/>
        <w:ind w:left="198"/>
        <w:rPr>
          <w:rFonts w:ascii="宋体"/>
          <w:sz w:val="24"/>
        </w:rPr>
      </w:pPr>
    </w:p>
    <w:p>
      <w:pPr>
        <w:spacing w:line="360" w:lineRule="auto"/>
        <w:jc w:val="center"/>
        <w:rPr>
          <w:rFonts w:ascii="宋体"/>
          <w:b/>
          <w:bCs/>
          <w:sz w:val="28"/>
          <w:szCs w:val="28"/>
        </w:rPr>
      </w:pPr>
      <w:r>
        <w:rPr>
          <w:rFonts w:hint="eastAsia" w:ascii="宋体"/>
          <w:b/>
          <w:bCs/>
          <w:sz w:val="28"/>
          <w:szCs w:val="28"/>
        </w:rPr>
        <w:t>（二）售后服务承诺书</w:t>
      </w:r>
    </w:p>
    <w:p>
      <w:pPr>
        <w:spacing w:line="360" w:lineRule="auto"/>
        <w:rPr>
          <w:rFonts w:ascii="宋体"/>
        </w:rPr>
      </w:pPr>
    </w:p>
    <w:p>
      <w:pPr>
        <w:spacing w:line="360" w:lineRule="auto"/>
        <w:jc w:val="left"/>
        <w:rPr>
          <w:rFonts w:ascii="宋体"/>
          <w:sz w:val="24"/>
        </w:rPr>
      </w:pPr>
      <w:r>
        <w:rPr>
          <w:rFonts w:hint="eastAsia" w:ascii="宋体"/>
          <w:sz w:val="24"/>
        </w:rPr>
        <w:t>（由供应商按第五章“技术规格、参数与要求”中售后服务须包括但不限于以下内容，主要根据招标需求的要求(格式自定)1)保修期；2)应急维修时间安排；3)维修地点、地址、联系电话及技术服务人员；4)维修服务收费标准；5)其它服务承诺；6)培训计划。）</w:t>
      </w:r>
    </w:p>
    <w:p>
      <w:pPr>
        <w:spacing w:line="360" w:lineRule="auto"/>
        <w:ind w:firstLine="2" w:firstLineChars="1"/>
        <w:rPr>
          <w:sz w:val="24"/>
        </w:rPr>
      </w:pPr>
    </w:p>
    <w:p>
      <w:pPr>
        <w:spacing w:line="360" w:lineRule="auto"/>
        <w:ind w:firstLine="2" w:firstLineChars="1"/>
        <w:rPr>
          <w:sz w:val="24"/>
        </w:rPr>
      </w:pPr>
      <w:r>
        <w:rPr>
          <w:rFonts w:hint="eastAsia"/>
          <w:sz w:val="24"/>
        </w:rPr>
        <w:t>供应商：（盖单位公章）</w:t>
      </w:r>
    </w:p>
    <w:p>
      <w:pPr>
        <w:spacing w:line="360" w:lineRule="auto"/>
        <w:ind w:firstLine="2" w:firstLineChars="1"/>
        <w:rPr>
          <w:sz w:val="24"/>
        </w:rPr>
      </w:pPr>
      <w:r>
        <w:rPr>
          <w:rFonts w:hint="eastAsia"/>
          <w:sz w:val="24"/>
        </w:rPr>
        <w:t>法定代表人：（</w:t>
      </w:r>
      <w:r>
        <w:rPr>
          <w:rFonts w:hint="eastAsia" w:ascii="宋体"/>
          <w:sz w:val="24"/>
        </w:rPr>
        <w:t>签名或盖章</w:t>
      </w:r>
      <w:r>
        <w:rPr>
          <w:rFonts w:hint="eastAsia"/>
          <w:sz w:val="24"/>
        </w:rPr>
        <w:t>）</w:t>
      </w:r>
    </w:p>
    <w:p>
      <w:pPr>
        <w:spacing w:line="360" w:lineRule="auto"/>
        <w:ind w:firstLine="480" w:firstLineChars="200"/>
        <w:rPr>
          <w:sz w:val="24"/>
        </w:rPr>
      </w:pPr>
      <w:r>
        <w:rPr>
          <w:rFonts w:hint="eastAsia"/>
          <w:sz w:val="24"/>
        </w:rPr>
        <w:t>年  月   日</w:t>
      </w:r>
    </w:p>
    <w:p>
      <w:pPr>
        <w:pStyle w:val="13"/>
        <w:rPr>
          <w:rFonts w:ascii="宋体" w:hAnsi="宋体"/>
        </w:rPr>
      </w:pPr>
    </w:p>
    <w:p>
      <w:pPr>
        <w:pStyle w:val="4"/>
        <w:spacing w:before="0" w:line="240" w:lineRule="atLeast"/>
        <w:ind w:left="0" w:firstLine="0"/>
        <w:rPr>
          <w:rFonts w:ascii="宋体" w:hAnsi="宋体" w:eastAsia="宋体"/>
          <w:sz w:val="24"/>
          <w:szCs w:val="24"/>
        </w:rPr>
      </w:pPr>
      <w:bookmarkStart w:id="276" w:name="_Toc84455599"/>
      <w:bookmarkStart w:id="277" w:name="_Toc5554_WPSOffice_Level3"/>
      <w:r>
        <w:rPr>
          <w:rFonts w:hint="eastAsia" w:ascii="宋体" w:hAnsi="宋体" w:eastAsia="宋体"/>
          <w:sz w:val="24"/>
          <w:szCs w:val="24"/>
        </w:rPr>
        <w:t>格式11：投标货物符合谈判文件规定的证明文件</w:t>
      </w:r>
      <w:bookmarkEnd w:id="276"/>
      <w:bookmarkEnd w:id="277"/>
    </w:p>
    <w:p>
      <w:pPr>
        <w:pStyle w:val="13"/>
      </w:pPr>
    </w:p>
    <w:p>
      <w:pPr>
        <w:pStyle w:val="4"/>
        <w:spacing w:before="0" w:line="240" w:lineRule="atLeast"/>
        <w:ind w:left="0" w:firstLine="0"/>
        <w:rPr>
          <w:rFonts w:ascii="宋体" w:hAnsi="宋体" w:eastAsia="宋体"/>
          <w:sz w:val="24"/>
          <w:szCs w:val="24"/>
        </w:rPr>
      </w:pPr>
      <w:bookmarkStart w:id="278" w:name="_Toc84455600"/>
      <w:r>
        <w:rPr>
          <w:rFonts w:hint="eastAsia" w:ascii="宋体" w:hAnsi="宋体" w:eastAsia="宋体"/>
          <w:sz w:val="24"/>
          <w:szCs w:val="24"/>
        </w:rPr>
        <w:t>格式12：其他声明</w:t>
      </w:r>
      <w:bookmarkEnd w:id="278"/>
    </w:p>
    <w:p>
      <w:pPr>
        <w:pStyle w:val="4"/>
        <w:spacing w:before="0" w:line="240" w:lineRule="atLeast"/>
        <w:ind w:left="0" w:firstLine="482" w:firstLineChars="200"/>
        <w:rPr>
          <w:rFonts w:ascii="宋体" w:eastAsia="宋体"/>
          <w:sz w:val="24"/>
          <w:szCs w:val="24"/>
        </w:rPr>
      </w:pPr>
    </w:p>
    <w:p>
      <w:pPr>
        <w:pStyle w:val="13"/>
        <w:rPr>
          <w:rFonts w:ascii="宋体" w:hAnsi="宋体"/>
        </w:rPr>
      </w:pPr>
    </w:p>
    <w:p>
      <w:pPr>
        <w:pStyle w:val="3"/>
        <w:ind w:left="0" w:firstLine="0"/>
        <w:jc w:val="center"/>
        <w:rPr>
          <w:rFonts w:ascii="黑体"/>
          <w:sz w:val="32"/>
          <w:szCs w:val="32"/>
        </w:rPr>
      </w:pPr>
      <w:bookmarkStart w:id="279" w:name="_Toc84455601"/>
      <w:bookmarkStart w:id="280" w:name="_Toc15807_WPSOffice_Level2"/>
      <w:bookmarkStart w:id="281" w:name="_Toc8111_WPSOffice_Level1"/>
      <w:bookmarkStart w:id="282" w:name="_技术规格、参数与要求"/>
      <w:r>
        <w:rPr>
          <w:rFonts w:hint="eastAsia" w:ascii="黑体"/>
          <w:sz w:val="32"/>
          <w:szCs w:val="32"/>
        </w:rPr>
        <w:t xml:space="preserve">第五章 </w:t>
      </w:r>
      <w:bookmarkEnd w:id="269"/>
      <w:r>
        <w:rPr>
          <w:rFonts w:hint="eastAsia" w:ascii="黑体"/>
          <w:sz w:val="32"/>
          <w:szCs w:val="32"/>
        </w:rPr>
        <w:t xml:space="preserve"> 技术规格、参数与要求</w:t>
      </w:r>
      <w:bookmarkEnd w:id="279"/>
      <w:bookmarkEnd w:id="280"/>
      <w:bookmarkEnd w:id="281"/>
    </w:p>
    <w:bookmarkEnd w:id="282"/>
    <w:p>
      <w:pPr>
        <w:pStyle w:val="32"/>
        <w:spacing w:before="156" w:beforeAutospacing="0" w:line="38" w:lineRule="atLeast"/>
        <w:rPr>
          <w:rStyle w:val="40"/>
          <w:sz w:val="28"/>
          <w:szCs w:val="28"/>
        </w:rPr>
      </w:pPr>
      <w:bookmarkStart w:id="283" w:name="_Toc12543_WPSOffice_Level3"/>
      <w:bookmarkStart w:id="284" w:name="_Toc4761_WPSOffice_Level2"/>
      <w:r>
        <w:rPr>
          <w:rStyle w:val="40"/>
          <w:rFonts w:hint="eastAsia"/>
          <w:sz w:val="28"/>
          <w:szCs w:val="28"/>
        </w:rPr>
        <w:t>一、采购数量</w:t>
      </w:r>
      <w:bookmarkEnd w:id="283"/>
      <w:bookmarkEnd w:id="284"/>
    </w:p>
    <w:p>
      <w:pPr>
        <w:pStyle w:val="32"/>
        <w:spacing w:before="156" w:beforeAutospacing="0" w:line="38" w:lineRule="atLeast"/>
      </w:pPr>
      <w:bookmarkStart w:id="285" w:name="_Toc5554_WPSOffice_Level2"/>
      <w:bookmarkStart w:id="286" w:name="_Toc9505_WPSOffice_Level3"/>
      <w:r>
        <w:rPr>
          <w:rFonts w:hint="eastAsia"/>
        </w:rPr>
        <w:t>半自动体外除颤仪5台，急救箱25个，医疗箱20个。</w:t>
      </w:r>
    </w:p>
    <w:p>
      <w:pPr>
        <w:pStyle w:val="32"/>
        <w:numPr>
          <w:ilvl w:val="0"/>
          <w:numId w:val="2"/>
        </w:numPr>
        <w:spacing w:before="156" w:beforeAutospacing="0" w:line="38" w:lineRule="atLeast"/>
        <w:rPr>
          <w:rStyle w:val="40"/>
          <w:sz w:val="28"/>
          <w:szCs w:val="28"/>
        </w:rPr>
      </w:pPr>
      <w:r>
        <w:rPr>
          <w:rStyle w:val="40"/>
          <w:rFonts w:hint="eastAsia"/>
          <w:sz w:val="28"/>
          <w:szCs w:val="28"/>
        </w:rPr>
        <w:t>项目清单及参数说明</w:t>
      </w:r>
      <w:bookmarkEnd w:id="285"/>
      <w:bookmarkEnd w:id="286"/>
    </w:p>
    <w:tbl>
      <w:tblPr>
        <w:tblStyle w:val="37"/>
        <w:tblW w:w="8495" w:type="dxa"/>
        <w:tblInd w:w="93" w:type="dxa"/>
        <w:tblLayout w:type="fixed"/>
        <w:tblCellMar>
          <w:top w:w="0" w:type="dxa"/>
          <w:left w:w="108" w:type="dxa"/>
          <w:bottom w:w="0" w:type="dxa"/>
          <w:right w:w="108" w:type="dxa"/>
        </w:tblCellMar>
      </w:tblPr>
      <w:tblGrid>
        <w:gridCol w:w="1235"/>
        <w:gridCol w:w="3098"/>
        <w:gridCol w:w="1822"/>
        <w:gridCol w:w="1039"/>
        <w:gridCol w:w="1301"/>
      </w:tblGrid>
      <w:tr>
        <w:tblPrEx>
          <w:tblCellMar>
            <w:top w:w="0" w:type="dxa"/>
            <w:left w:w="108" w:type="dxa"/>
            <w:bottom w:w="0" w:type="dxa"/>
            <w:right w:w="108" w:type="dxa"/>
          </w:tblCellMar>
        </w:tblPrEx>
        <w:trPr>
          <w:trHeight w:val="57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货物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名称</w:t>
            </w:r>
          </w:p>
        </w:tc>
        <w:tc>
          <w:tcPr>
            <w:tcW w:w="30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规格、技术参数、性能要求及配置</w:t>
            </w: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单位</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数量</w:t>
            </w:r>
          </w:p>
        </w:tc>
        <w:tc>
          <w:tcPr>
            <w:tcW w:w="1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199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半自动体外除颤仪</w:t>
            </w:r>
          </w:p>
        </w:tc>
        <w:tc>
          <w:tcPr>
            <w:tcW w:w="30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lang w:bidi="ar"/>
              </w:rPr>
              <w:t>1、物理性能：电池整机重量小于等于3kg(含锂电池)具备高便携性；2、技术性能及要求：具备自检、自动纠错、心电储存及内部安全等放电功能;3、电压电流：15V、2.0Ah;具备心电储存功能，输出能量140-360J</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急救箱（1个配置）</w:t>
            </w: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上臂式电子血压计（包括本体，袖带、空气管和AC电源适配器，本体重量≤300g，具有记忆功能，袖带佩戴自检，测压精度不超过3mmHg）</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60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60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1301"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共计25个</w:t>
            </w: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听诊器</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敷料剪</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把</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体温计</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止血带</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3</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三角巾</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绷带卷</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PBT弹力绷带</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医用纱布片</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3</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不粘伤口敷料</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3</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100个防水创可贴</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Style w:val="187"/>
                <w:rFonts w:hint="default"/>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脱脂棉</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ascii="宋体" w:hAnsi="宋体" w:cs="宋体"/>
                <w:color w:val="000000"/>
                <w:kern w:val="0"/>
                <w:sz w:val="24"/>
                <w:lang w:bidi="ar"/>
              </w:rPr>
              <w:t>100ml</w:t>
            </w:r>
            <w:r>
              <w:rPr>
                <w:rFonts w:hint="eastAsia" w:ascii="宋体" w:hAnsi="宋体" w:cs="宋体"/>
                <w:color w:val="000000"/>
                <w:kern w:val="0"/>
                <w:sz w:val="24"/>
                <w:lang w:bidi="ar"/>
              </w:rPr>
              <w:t>酒精</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瓶</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ascii="宋体" w:hAnsi="宋体" w:cs="宋体"/>
                <w:color w:val="000000"/>
                <w:kern w:val="0"/>
                <w:sz w:val="24"/>
                <w:lang w:bidi="ar"/>
              </w:rPr>
              <w:t>100ml</w:t>
            </w:r>
            <w:r>
              <w:rPr>
                <w:rFonts w:hint="eastAsia" w:ascii="宋体" w:hAnsi="宋体" w:cs="宋体"/>
                <w:color w:val="000000"/>
                <w:kern w:val="0"/>
                <w:sz w:val="24"/>
                <w:lang w:bidi="ar"/>
              </w:rPr>
              <w:t>碘伏</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瓶</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医用棉签</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20片碘伏棉片</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20片酒精棉片</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10双一次性塑料手套</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10双一次性橡胶手套</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呼吸气囊</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口对口呼吸面罩</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医用防过敏胶带</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瞬冷冰袋</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手电筒</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敷料镊子</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急救夹板</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急救箱（尺寸要求需装下清单内所有物品，做工精美，内部用绒布做内衬而且粘牢，箱盖内侧做插袋，急救箱四周都要有红十字标志）</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72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72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1301" w:type="dxa"/>
            <w:vMerge w:val="continue"/>
            <w:tcBorders>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restart"/>
            <w:tcBorders>
              <w:top w:val="single" w:color="000000" w:sz="4" w:space="0"/>
              <w:left w:val="single" w:color="000000" w:sz="4" w:space="0"/>
              <w:right w:val="single" w:color="000000" w:sz="4" w:space="0"/>
            </w:tcBorders>
            <w:shd w:val="clear" w:color="auto" w:fill="FFFFFF"/>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医疗箱（1个配置）</w:t>
            </w: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敷料剪</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把</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共计20个</w:t>
            </w: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水银体温计</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止血带</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3</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三角巾</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绷带卷</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nil"/>
              <w:left w:val="single" w:color="000000" w:sz="4" w:space="0"/>
              <w:bottom w:val="nil"/>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PBT弹力绷带</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医用纱布片</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3</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100个防水创可贴</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Style w:val="187"/>
                <w:rFonts w:hint="default"/>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脱脂棉</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100ml酒精</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瓶</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100ml碘伏</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瓶</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医用棉签</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20片碘伏棉片</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20片酒精棉片</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10双一次性塑料手套</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tcPr>
          <w:p>
            <w:pPr>
              <w:jc w:val="center"/>
            </w:pPr>
            <w:r>
              <w:rPr>
                <w:rFonts w:hint="eastAsia"/>
              </w:rPr>
              <w:t>10双一次性橡胶手套</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袋</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呼吸气囊</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口对口呼吸面罩</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医用放过敏胶带</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瞬冷冰袋</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敷料镊子</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急救夹板</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1301" w:type="dxa"/>
            <w:vMerge w:val="continue"/>
            <w:tcBorders>
              <w:left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23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309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医疗箱（尺寸要求需装下清单内所有物品，做工精美，内部用绒布做内衬而且粘牢，箱盖内侧做插袋，急救箱四周都要有红十字标志）</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72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72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1301" w:type="dxa"/>
            <w:vMerge w:val="continue"/>
            <w:tcBorders>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35" w:type="dxa"/>
          </w:tcPr>
          <w:p>
            <w:pPr>
              <w:pStyle w:val="32"/>
              <w:spacing w:before="156" w:line="600" w:lineRule="auto"/>
              <w:ind w:left="15"/>
              <w:jc w:val="center"/>
              <w:rPr>
                <w:rStyle w:val="40"/>
                <w:sz w:val="28"/>
                <w:szCs w:val="28"/>
              </w:rPr>
            </w:pPr>
            <w:r>
              <w:rPr>
                <w:rFonts w:hint="eastAsia" w:cs="Times New Roman"/>
                <w:b/>
                <w:bCs/>
                <w:kern w:val="2"/>
              </w:rPr>
              <w:t>说明</w:t>
            </w:r>
          </w:p>
        </w:tc>
        <w:tc>
          <w:tcPr>
            <w:tcW w:w="7260" w:type="dxa"/>
            <w:gridSpan w:val="4"/>
            <w:shd w:val="clear" w:color="auto" w:fill="auto"/>
          </w:tcPr>
          <w:p>
            <w:pPr>
              <w:widowControl/>
              <w:jc w:val="left"/>
              <w:rPr>
                <w:rStyle w:val="40"/>
                <w:sz w:val="28"/>
                <w:szCs w:val="28"/>
              </w:rPr>
            </w:pPr>
            <w:r>
              <w:rPr>
                <w:rFonts w:hint="eastAsia" w:ascii="宋体" w:hAnsi="宋体"/>
                <w:b/>
                <w:bCs/>
                <w:sz w:val="24"/>
              </w:rPr>
              <w:t>1、外包装上中文标识生产厂商名称、地址、生产许可证、产品注册证、生产日期及保质期；2、质量标准为国家标准、行业标准、地区标准等。</w:t>
            </w:r>
          </w:p>
        </w:tc>
      </w:tr>
    </w:tbl>
    <w:p>
      <w:pPr>
        <w:pStyle w:val="32"/>
        <w:spacing w:before="156" w:beforeAutospacing="0" w:line="38" w:lineRule="atLeast"/>
        <w:rPr>
          <w:rFonts w:cs="Times New Roman"/>
          <w:b/>
          <w:bCs/>
          <w:kern w:val="2"/>
          <w:sz w:val="28"/>
          <w:szCs w:val="28"/>
        </w:rPr>
      </w:pPr>
      <w:bookmarkStart w:id="287" w:name="_Toc26186_WPSOffice_Level2"/>
      <w:bookmarkStart w:id="288" w:name="_Toc9022_WPSOffice_Level3"/>
      <w:r>
        <w:rPr>
          <w:rFonts w:hint="eastAsia" w:cs="Times New Roman"/>
          <w:b/>
          <w:bCs/>
          <w:kern w:val="2"/>
          <w:sz w:val="28"/>
          <w:szCs w:val="28"/>
        </w:rPr>
        <w:t>三、供货范围</w:t>
      </w:r>
      <w:bookmarkEnd w:id="287"/>
      <w:bookmarkEnd w:id="288"/>
    </w:p>
    <w:p>
      <w:pPr>
        <w:adjustRightInd w:val="0"/>
        <w:snapToGrid w:val="0"/>
        <w:spacing w:before="120" w:beforeLines="50" w:line="360" w:lineRule="auto"/>
        <w:rPr>
          <w:rFonts w:ascii="宋体" w:hAnsi="宋体"/>
          <w:sz w:val="24"/>
        </w:rPr>
      </w:pPr>
      <w:r>
        <w:rPr>
          <w:rFonts w:hint="eastAsia" w:ascii="宋体" w:hAnsi="宋体"/>
          <w:sz w:val="24"/>
        </w:rPr>
        <w:t>满足清单内容和数量</w:t>
      </w:r>
    </w:p>
    <w:p>
      <w:pPr>
        <w:pStyle w:val="32"/>
        <w:spacing w:before="156" w:beforeAutospacing="0" w:line="38" w:lineRule="atLeast"/>
        <w:rPr>
          <w:rFonts w:cs="Times New Roman"/>
          <w:b/>
          <w:bCs/>
          <w:kern w:val="2"/>
          <w:sz w:val="28"/>
          <w:szCs w:val="28"/>
        </w:rPr>
      </w:pPr>
      <w:bookmarkStart w:id="289" w:name="_Toc30119_WPSOffice_Level3"/>
      <w:bookmarkStart w:id="290" w:name="_Toc984_WPSOffice_Level2"/>
      <w:r>
        <w:rPr>
          <w:rFonts w:hint="eastAsia" w:cs="Times New Roman"/>
          <w:b/>
          <w:bCs/>
          <w:kern w:val="2"/>
          <w:sz w:val="28"/>
          <w:szCs w:val="28"/>
        </w:rPr>
        <w:t>四、</w:t>
      </w:r>
      <w:bookmarkEnd w:id="289"/>
      <w:bookmarkEnd w:id="290"/>
      <w:r>
        <w:rPr>
          <w:rFonts w:hint="eastAsia" w:cs="Times New Roman"/>
          <w:b/>
          <w:bCs/>
          <w:kern w:val="2"/>
          <w:sz w:val="28"/>
          <w:szCs w:val="28"/>
        </w:rPr>
        <w:t>采购项目商务要求</w:t>
      </w:r>
    </w:p>
    <w:p>
      <w:pPr>
        <w:pStyle w:val="32"/>
        <w:spacing w:before="156" w:beforeAutospacing="0" w:line="38" w:lineRule="atLeast"/>
        <w:rPr>
          <w:rFonts w:cs="Times New Roman"/>
          <w:b/>
          <w:bCs/>
          <w:kern w:val="2"/>
          <w:sz w:val="28"/>
          <w:szCs w:val="28"/>
        </w:rPr>
      </w:pPr>
      <w:r>
        <w:rPr>
          <w:rFonts w:hint="eastAsia" w:cs="Times New Roman"/>
          <w:b/>
          <w:bCs/>
          <w:kern w:val="2"/>
          <w:sz w:val="28"/>
          <w:szCs w:val="28"/>
        </w:rPr>
        <w:t>1．供货要求</w:t>
      </w:r>
    </w:p>
    <w:p>
      <w:pPr>
        <w:pStyle w:val="32"/>
        <w:spacing w:before="156" w:beforeAutospacing="0" w:line="38" w:lineRule="atLeast"/>
        <w:rPr>
          <w:rFonts w:cs="Times New Roman"/>
          <w:b/>
          <w:bCs/>
          <w:kern w:val="2"/>
          <w:sz w:val="28"/>
          <w:szCs w:val="28"/>
        </w:rPr>
      </w:pPr>
      <w:r>
        <w:rPr>
          <w:rFonts w:hint="eastAsia"/>
        </w:rPr>
        <w:t>(1)</w:t>
      </w:r>
      <w:r>
        <w:rPr>
          <w:rFonts w:hint="eastAsia" w:cs="Times New Roman"/>
          <w:kern w:val="2"/>
        </w:rPr>
        <w:t>所有产品必须是厂商原装、全新的产品，在</w:t>
      </w:r>
      <w:r>
        <w:rPr>
          <w:rFonts w:hint="eastAsia"/>
        </w:rPr>
        <w:t>中国范围内合法销售，</w:t>
      </w:r>
      <w:r>
        <w:rPr>
          <w:rFonts w:hint="eastAsia" w:cs="Times New Roman"/>
          <w:kern w:val="2"/>
        </w:rPr>
        <w:t>符合国家标准及该产品的出厂标准。</w:t>
      </w:r>
    </w:p>
    <w:p>
      <w:pPr>
        <w:adjustRightInd w:val="0"/>
        <w:snapToGrid w:val="0"/>
        <w:spacing w:before="120" w:beforeLines="50" w:line="360" w:lineRule="auto"/>
        <w:rPr>
          <w:rFonts w:ascii="宋体" w:hAnsi="宋体"/>
          <w:sz w:val="24"/>
        </w:rPr>
      </w:pPr>
      <w:r>
        <w:rPr>
          <w:rFonts w:hint="eastAsia" w:ascii="宋体" w:hAnsi="宋体"/>
          <w:sz w:val="24"/>
        </w:rPr>
        <w:t>(2)所有产品的规格必须与用户需求保持一致，并完全符合采购人需求的产品。</w:t>
      </w:r>
    </w:p>
    <w:p>
      <w:pPr>
        <w:adjustRightInd w:val="0"/>
        <w:snapToGrid w:val="0"/>
        <w:spacing w:before="120" w:beforeLines="50" w:line="360" w:lineRule="auto"/>
        <w:rPr>
          <w:rFonts w:ascii="宋体" w:hAnsi="宋体"/>
          <w:sz w:val="24"/>
        </w:rPr>
      </w:pPr>
      <w:r>
        <w:rPr>
          <w:rFonts w:hint="eastAsia" w:ascii="宋体" w:hAnsi="宋体"/>
          <w:sz w:val="24"/>
        </w:rPr>
        <w:t>(3)供应商应提供能满足安装调试需要的易损件及备品备件以及设备拆装、维修、维护保养所需的特殊工具，备品备件和专用工具的价格包含在投标报价里。</w:t>
      </w:r>
    </w:p>
    <w:p>
      <w:pPr>
        <w:adjustRightInd w:val="0"/>
        <w:snapToGrid w:val="0"/>
        <w:spacing w:before="120" w:beforeLines="50" w:line="360" w:lineRule="auto"/>
        <w:rPr>
          <w:rFonts w:ascii="宋体" w:hAnsi="宋体"/>
          <w:sz w:val="24"/>
        </w:rPr>
      </w:pPr>
      <w:r>
        <w:rPr>
          <w:rFonts w:hint="eastAsia" w:ascii="宋体" w:hAnsi="宋体"/>
          <w:sz w:val="24"/>
        </w:rPr>
        <w:t>(4)对于影响设备正常工作的必要组成部分，无论在技术规范中指出与否，供应商都应提供在响应文件中明确列出。</w:t>
      </w:r>
    </w:p>
    <w:p>
      <w:pPr>
        <w:adjustRightInd w:val="0"/>
        <w:snapToGrid w:val="0"/>
        <w:spacing w:before="120" w:beforeLines="50" w:line="360" w:lineRule="auto"/>
        <w:rPr>
          <w:rFonts w:ascii="宋体" w:hAnsi="宋体"/>
          <w:sz w:val="24"/>
        </w:rPr>
      </w:pPr>
      <w:r>
        <w:rPr>
          <w:rFonts w:hint="eastAsia" w:ascii="宋体" w:hAnsi="宋体"/>
          <w:sz w:val="24"/>
        </w:rPr>
        <w:t>(5)所有设备交货时提供出厂合格证等质量证明文件。</w:t>
      </w:r>
    </w:p>
    <w:p>
      <w:pPr>
        <w:adjustRightInd w:val="0"/>
        <w:snapToGrid w:val="0"/>
        <w:spacing w:before="120" w:beforeLines="50" w:line="360" w:lineRule="auto"/>
        <w:rPr>
          <w:rFonts w:ascii="宋体" w:hAnsi="宋体"/>
          <w:sz w:val="24"/>
        </w:rPr>
      </w:pPr>
      <w:r>
        <w:rPr>
          <w:rFonts w:hint="eastAsia" w:ascii="宋体" w:hAnsi="宋体"/>
          <w:sz w:val="24"/>
        </w:rPr>
        <w:t>(6)如供货后发现任何作假行为，将不作验收，也不支付任何费用，将作为违约处理。</w:t>
      </w:r>
    </w:p>
    <w:p>
      <w:pPr>
        <w:adjustRightInd w:val="0"/>
        <w:snapToGrid w:val="0"/>
        <w:spacing w:before="120" w:beforeLines="50" w:line="360" w:lineRule="auto"/>
        <w:rPr>
          <w:rFonts w:ascii="宋体" w:hAnsi="宋体"/>
          <w:sz w:val="24"/>
        </w:rPr>
      </w:pPr>
      <w:r>
        <w:rPr>
          <w:rFonts w:hint="eastAsia" w:ascii="宋体" w:hAnsi="宋体"/>
          <w:sz w:val="24"/>
        </w:rPr>
        <w:t>(7)项目采购的所有设备配件由成交供应商负责安装调试，安装调试后需通过采购人组织的验收小组的验收，采购人不承担相关的费用。</w:t>
      </w:r>
    </w:p>
    <w:p>
      <w:pPr>
        <w:adjustRightInd w:val="0"/>
        <w:snapToGrid w:val="0"/>
        <w:spacing w:before="120" w:beforeLines="50" w:line="360" w:lineRule="auto"/>
        <w:rPr>
          <w:rFonts w:ascii="宋体" w:hAnsi="宋体"/>
          <w:b/>
          <w:sz w:val="24"/>
        </w:rPr>
      </w:pPr>
      <w:r>
        <w:rPr>
          <w:rFonts w:hint="eastAsia" w:ascii="宋体" w:hAnsi="宋体"/>
          <w:b/>
          <w:sz w:val="24"/>
        </w:rPr>
        <w:t>2.质保期</w:t>
      </w:r>
    </w:p>
    <w:p>
      <w:pPr>
        <w:adjustRightInd w:val="0"/>
        <w:snapToGrid w:val="0"/>
        <w:spacing w:before="120" w:beforeLines="50" w:line="360" w:lineRule="auto"/>
        <w:rPr>
          <w:rFonts w:ascii="宋体" w:hAnsi="宋体"/>
          <w:sz w:val="24"/>
        </w:rPr>
      </w:pPr>
      <w:r>
        <w:rPr>
          <w:rFonts w:hint="eastAsia" w:ascii="宋体" w:hAnsi="宋体"/>
          <w:sz w:val="24"/>
        </w:rPr>
        <w:t xml:space="preserve">设备质量保证期不少于3年，药品如国家有统一规定的执行国家规定，没有规定的原则上不少于12个月。急救箱、医疗箱内包含的有保质期要求的耗材，生产日期需为：2021年6月以后。在此保证期内，如在正常使用过程中出现的质量问题，供应商须负责免费维修或调换。  </w:t>
      </w:r>
    </w:p>
    <w:p>
      <w:pPr>
        <w:adjustRightInd w:val="0"/>
        <w:snapToGrid w:val="0"/>
        <w:spacing w:before="120" w:beforeLines="50" w:line="360" w:lineRule="auto"/>
        <w:rPr>
          <w:rFonts w:ascii="宋体" w:hAnsi="宋体"/>
          <w:b/>
          <w:sz w:val="24"/>
        </w:rPr>
      </w:pPr>
      <w:r>
        <w:rPr>
          <w:rFonts w:hint="eastAsia" w:ascii="宋体" w:hAnsi="宋体"/>
          <w:b/>
          <w:sz w:val="24"/>
        </w:rPr>
        <w:t>3.报价要求</w:t>
      </w:r>
    </w:p>
    <w:p>
      <w:pPr>
        <w:adjustRightInd w:val="0"/>
        <w:snapToGrid w:val="0"/>
        <w:spacing w:before="120" w:beforeLines="50" w:line="360" w:lineRule="auto"/>
        <w:rPr>
          <w:rFonts w:ascii="宋体" w:hAnsi="宋体"/>
          <w:sz w:val="24"/>
        </w:rPr>
      </w:pPr>
      <w:r>
        <w:rPr>
          <w:rFonts w:hint="eastAsia" w:ascii="宋体" w:hAnsi="宋体"/>
          <w:sz w:val="24"/>
        </w:rPr>
        <w:t>供应商的投标报价即为合同总额，合同执行期间不再另作调整，包括货物及其附件的设计、安装、随机零配件、标配工具、运输保险、调试、培训、质保期服务、各项税费及合同实施过程中不可预见费用等相关货物、服务的全部费用。</w:t>
      </w:r>
    </w:p>
    <w:p>
      <w:pPr>
        <w:pStyle w:val="32"/>
        <w:spacing w:before="156" w:beforeAutospacing="0" w:line="38" w:lineRule="atLeast"/>
        <w:rPr>
          <w:b/>
        </w:rPr>
      </w:pPr>
      <w:r>
        <w:rPr>
          <w:rFonts w:hint="eastAsia"/>
          <w:b/>
        </w:rPr>
        <w:t>4、交货要求</w:t>
      </w:r>
    </w:p>
    <w:p>
      <w:pPr>
        <w:pStyle w:val="32"/>
        <w:spacing w:before="156" w:beforeAutospacing="0" w:line="38" w:lineRule="atLeast"/>
      </w:pPr>
      <w:r>
        <w:rPr>
          <w:rFonts w:hint="eastAsia"/>
        </w:rPr>
        <w:t>合同签订后于</w:t>
      </w:r>
      <w:bookmarkStart w:id="291" w:name="_Toc14815_WPSOffice_Level2"/>
      <w:bookmarkStart w:id="292" w:name="_Toc736_WPSOffice_Level3"/>
      <w:r>
        <w:rPr>
          <w:rFonts w:hint="eastAsia"/>
        </w:rPr>
        <w:t>合同签订后30日历天，根据采购方要求送货、安装。</w:t>
      </w:r>
    </w:p>
    <w:p>
      <w:pPr>
        <w:pStyle w:val="32"/>
        <w:spacing w:before="156" w:beforeAutospacing="0" w:line="38" w:lineRule="atLeast"/>
        <w:rPr>
          <w:rFonts w:cs="Times New Roman"/>
          <w:b/>
          <w:bCs/>
          <w:kern w:val="2"/>
          <w:sz w:val="28"/>
          <w:szCs w:val="28"/>
        </w:rPr>
      </w:pPr>
      <w:r>
        <w:rPr>
          <w:rFonts w:hint="eastAsia" w:cs="Times New Roman"/>
          <w:b/>
          <w:bCs/>
          <w:kern w:val="2"/>
          <w:sz w:val="28"/>
          <w:szCs w:val="28"/>
        </w:rPr>
        <w:t>5、验收标准和方法</w:t>
      </w:r>
      <w:bookmarkEnd w:id="291"/>
      <w:bookmarkEnd w:id="292"/>
    </w:p>
    <w:p>
      <w:pPr>
        <w:adjustRightInd w:val="0"/>
        <w:snapToGrid w:val="0"/>
        <w:spacing w:before="120" w:beforeLines="50" w:line="360" w:lineRule="auto"/>
        <w:rPr>
          <w:rFonts w:ascii="宋体" w:hAnsi="宋体"/>
          <w:sz w:val="24"/>
        </w:rPr>
      </w:pPr>
      <w:r>
        <w:rPr>
          <w:rFonts w:hint="eastAsia" w:ascii="宋体" w:hAnsi="宋体"/>
          <w:sz w:val="24"/>
        </w:rPr>
        <w:t>1、所供产品的规格、数量符合招标文件供应商投标承诺及采购合同约定的要求。</w:t>
      </w:r>
    </w:p>
    <w:p>
      <w:pPr>
        <w:adjustRightInd w:val="0"/>
        <w:snapToGrid w:val="0"/>
        <w:spacing w:before="120" w:beforeLines="50" w:line="360" w:lineRule="auto"/>
        <w:rPr>
          <w:rFonts w:ascii="宋体" w:hAnsi="宋体"/>
          <w:sz w:val="24"/>
        </w:rPr>
      </w:pPr>
      <w:r>
        <w:rPr>
          <w:rFonts w:hint="eastAsia" w:ascii="宋体" w:hAnsi="宋体"/>
          <w:sz w:val="24"/>
        </w:rPr>
        <w:t>2、要求货物为原制造商制造的全新产品，整机无污染，无侵权行为、表面无划损、无任何缺陷隐患，在中国境内可依常规安全合法使用。</w:t>
      </w:r>
    </w:p>
    <w:p>
      <w:pPr>
        <w:adjustRightInd w:val="0"/>
        <w:snapToGrid w:val="0"/>
        <w:spacing w:before="120" w:beforeLines="50" w:line="360" w:lineRule="auto"/>
        <w:rPr>
          <w:rFonts w:ascii="宋体" w:hAnsi="宋体"/>
          <w:sz w:val="24"/>
        </w:rPr>
      </w:pPr>
      <w:r>
        <w:rPr>
          <w:rFonts w:hint="eastAsia" w:ascii="宋体" w:hAnsi="宋体"/>
          <w:sz w:val="24"/>
        </w:rPr>
        <w:t>3、所有产品均已运输至指定地点，并安装调试完毕。</w:t>
      </w:r>
    </w:p>
    <w:p>
      <w:pPr>
        <w:adjustRightInd w:val="0"/>
        <w:snapToGrid w:val="0"/>
        <w:spacing w:before="120" w:beforeLines="50" w:line="360" w:lineRule="auto"/>
        <w:rPr>
          <w:rFonts w:ascii="宋体" w:hAnsi="宋体"/>
          <w:sz w:val="24"/>
        </w:rPr>
      </w:pPr>
      <w:r>
        <w:rPr>
          <w:rFonts w:hint="eastAsia" w:ascii="宋体" w:hAnsi="宋体"/>
          <w:sz w:val="24"/>
        </w:rPr>
        <w:t>4、招标文件供应商投标承诺及采购合同约定的附件、工具、技术资料等齐全；提供产品使用说明书、合格证。</w:t>
      </w:r>
    </w:p>
    <w:p>
      <w:pPr>
        <w:adjustRightInd w:val="0"/>
        <w:snapToGrid w:val="0"/>
        <w:spacing w:before="120" w:beforeLines="50" w:line="360" w:lineRule="auto"/>
        <w:rPr>
          <w:rFonts w:ascii="宋体" w:hAnsi="宋体"/>
          <w:sz w:val="24"/>
        </w:rPr>
      </w:pPr>
      <w:r>
        <w:rPr>
          <w:rFonts w:hint="eastAsia" w:ascii="宋体" w:hAnsi="宋体"/>
          <w:sz w:val="24"/>
        </w:rPr>
        <w:t>5、采购人组成验收小组按国家有关规定、规范进行验收，必要时邀请相关的专业人员或机构参与验收。</w:t>
      </w:r>
    </w:p>
    <w:p>
      <w:pPr>
        <w:adjustRightInd w:val="0"/>
        <w:snapToGrid w:val="0"/>
        <w:spacing w:before="120" w:beforeLines="50" w:line="360" w:lineRule="auto"/>
        <w:rPr>
          <w:rFonts w:ascii="宋体" w:hAnsi="宋体"/>
          <w:sz w:val="24"/>
        </w:rPr>
      </w:pPr>
      <w:r>
        <w:rPr>
          <w:rFonts w:hint="eastAsia" w:ascii="宋体" w:hAnsi="宋体"/>
          <w:sz w:val="24"/>
        </w:rPr>
        <w:t>6、若设备验收不通过，采购人有权换货，成交供应商必须无条件更换新的设备给采购人。</w:t>
      </w:r>
    </w:p>
    <w:p>
      <w:pPr>
        <w:pStyle w:val="32"/>
        <w:spacing w:before="156" w:beforeAutospacing="0" w:line="38" w:lineRule="atLeast"/>
        <w:rPr>
          <w:rFonts w:cs="Times New Roman"/>
          <w:b/>
          <w:bCs/>
          <w:kern w:val="2"/>
          <w:sz w:val="28"/>
          <w:szCs w:val="28"/>
        </w:rPr>
      </w:pPr>
      <w:bookmarkStart w:id="293" w:name="_Toc27720_WPSOffice_Level3"/>
      <w:bookmarkStart w:id="294" w:name="_Toc11236_WPSOffice_Level2"/>
      <w:r>
        <w:rPr>
          <w:rFonts w:hint="eastAsia" w:cs="Times New Roman"/>
          <w:b/>
          <w:bCs/>
          <w:kern w:val="2"/>
          <w:sz w:val="28"/>
          <w:szCs w:val="28"/>
        </w:rPr>
        <w:t>6、安装调试要求</w:t>
      </w:r>
      <w:bookmarkEnd w:id="293"/>
      <w:bookmarkEnd w:id="294"/>
    </w:p>
    <w:p>
      <w:pPr>
        <w:adjustRightInd w:val="0"/>
        <w:snapToGrid w:val="0"/>
        <w:spacing w:before="120" w:beforeLines="50" w:line="360" w:lineRule="auto"/>
        <w:rPr>
          <w:rFonts w:ascii="宋体" w:hAnsi="宋体"/>
          <w:sz w:val="24"/>
        </w:rPr>
      </w:pPr>
      <w:r>
        <w:rPr>
          <w:rFonts w:hint="eastAsia" w:ascii="宋体" w:hAnsi="宋体"/>
          <w:sz w:val="24"/>
        </w:rPr>
        <w:t xml:space="preserve"> 按采购人指定的地点和要求完成安装和摆放，设备调试到最佳状态。</w:t>
      </w:r>
    </w:p>
    <w:p>
      <w:pPr>
        <w:pStyle w:val="32"/>
        <w:spacing w:before="156" w:beforeAutospacing="0" w:line="38" w:lineRule="atLeast"/>
        <w:rPr>
          <w:rFonts w:cs="Times New Roman"/>
          <w:b/>
          <w:bCs/>
          <w:kern w:val="2"/>
          <w:sz w:val="28"/>
          <w:szCs w:val="28"/>
        </w:rPr>
      </w:pPr>
      <w:bookmarkStart w:id="295" w:name="_Toc24971_WPSOffice_Level3"/>
      <w:bookmarkStart w:id="296" w:name="_Toc6393_WPSOffice_Level2"/>
      <w:r>
        <w:rPr>
          <w:rFonts w:hint="eastAsia" w:cs="Times New Roman"/>
          <w:b/>
          <w:bCs/>
          <w:kern w:val="2"/>
          <w:sz w:val="28"/>
          <w:szCs w:val="28"/>
        </w:rPr>
        <w:t>7、售后服务</w:t>
      </w:r>
      <w:bookmarkEnd w:id="295"/>
      <w:bookmarkEnd w:id="296"/>
    </w:p>
    <w:p>
      <w:pPr>
        <w:adjustRightInd w:val="0"/>
        <w:snapToGrid w:val="0"/>
        <w:spacing w:before="120" w:beforeLines="50" w:line="360" w:lineRule="auto"/>
        <w:rPr>
          <w:rFonts w:ascii="宋体" w:hAnsi="宋体"/>
          <w:sz w:val="24"/>
        </w:rPr>
      </w:pPr>
      <w:r>
        <w:rPr>
          <w:rFonts w:ascii="宋体" w:hAnsi="宋体"/>
          <w:sz w:val="24"/>
        </w:rPr>
        <w:t>7.</w:t>
      </w:r>
      <w:r>
        <w:rPr>
          <w:rFonts w:hint="eastAsia" w:ascii="宋体" w:hAnsi="宋体"/>
          <w:sz w:val="24"/>
        </w:rPr>
        <w:t>1、故障响应时间：设备发生故障时，在接到采购人通知后2小时内到达现场处理，一般故障处理时限不超过12小时，12小时内不能修复的，提供替代品。如货物经成交人 3 次维修仍不能达到本项目谈判文件、合同约定的质量标准，视作成交人未能按时交货，采购人有权退货并追究成交人的违约责任。</w:t>
      </w:r>
    </w:p>
    <w:p>
      <w:pPr>
        <w:adjustRightInd w:val="0"/>
        <w:snapToGrid w:val="0"/>
        <w:spacing w:before="120" w:beforeLines="50" w:line="360" w:lineRule="auto"/>
        <w:rPr>
          <w:rFonts w:ascii="宋体" w:hAnsi="宋体"/>
          <w:sz w:val="24"/>
        </w:rPr>
      </w:pPr>
      <w:r>
        <w:rPr>
          <w:rFonts w:ascii="宋体" w:hAnsi="宋体"/>
          <w:sz w:val="24"/>
        </w:rPr>
        <w:t>7.</w:t>
      </w:r>
      <w:r>
        <w:rPr>
          <w:rFonts w:hint="eastAsia" w:ascii="宋体" w:hAnsi="宋体"/>
          <w:sz w:val="24"/>
        </w:rPr>
        <w:t>2、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pPr>
        <w:adjustRightInd w:val="0"/>
        <w:snapToGrid w:val="0"/>
        <w:spacing w:before="120" w:beforeLines="50" w:line="360" w:lineRule="auto"/>
        <w:rPr>
          <w:rFonts w:ascii="宋体" w:hAnsi="宋体"/>
          <w:sz w:val="24"/>
        </w:rPr>
      </w:pPr>
      <w:r>
        <w:rPr>
          <w:rFonts w:ascii="宋体" w:hAnsi="宋体"/>
          <w:sz w:val="24"/>
        </w:rPr>
        <w:t>7.</w:t>
      </w:r>
      <w:r>
        <w:rPr>
          <w:rFonts w:hint="eastAsia" w:ascii="宋体" w:hAnsi="宋体"/>
          <w:sz w:val="24"/>
        </w:rPr>
        <w:t>3、维修与备品备件服务：对所售货物在质量保证期内提供上门全免费保修期，质量保证期内非人为因素发生的故障均由中标供应商免费维修或更换，质保期外维修的零配件需优惠（注明折扣率），免收人工费；</w:t>
      </w:r>
    </w:p>
    <w:p>
      <w:pPr>
        <w:adjustRightInd w:val="0"/>
        <w:snapToGrid w:val="0"/>
        <w:spacing w:before="120" w:beforeLines="50" w:line="360" w:lineRule="auto"/>
        <w:rPr>
          <w:rFonts w:hint="eastAsia" w:ascii="宋体" w:hAnsi="宋体"/>
          <w:sz w:val="24"/>
        </w:rPr>
      </w:pPr>
      <w:r>
        <w:rPr>
          <w:rFonts w:ascii="宋体" w:hAnsi="宋体"/>
          <w:sz w:val="24"/>
        </w:rPr>
        <w:t>7.</w:t>
      </w:r>
      <w:r>
        <w:rPr>
          <w:rFonts w:hint="eastAsia" w:ascii="宋体" w:hAnsi="宋体"/>
          <w:sz w:val="24"/>
        </w:rPr>
        <w:t>4、技术服务信息（要求提供在采购人当地设有的售后服务机构名称、地址，以及专门为采购人服务的客户服务经理姓名、电话。）</w:t>
      </w:r>
    </w:p>
    <w:p>
      <w:pPr>
        <w:pStyle w:val="32"/>
        <w:spacing w:before="156" w:beforeAutospacing="0" w:line="38" w:lineRule="atLeast"/>
        <w:rPr>
          <w:rFonts w:hint="eastAsia" w:cs="Times New Roman"/>
          <w:b/>
          <w:bCs/>
          <w:kern w:val="2"/>
          <w:sz w:val="28"/>
          <w:szCs w:val="28"/>
        </w:rPr>
      </w:pPr>
      <w:r>
        <w:rPr>
          <w:rFonts w:hint="eastAsia" w:cs="Times New Roman"/>
          <w:b/>
          <w:bCs/>
          <w:kern w:val="2"/>
          <w:sz w:val="28"/>
          <w:szCs w:val="28"/>
        </w:rPr>
        <w:t xml:space="preserve">8、违约责任 </w:t>
      </w:r>
    </w:p>
    <w:p>
      <w:pPr>
        <w:adjustRightInd w:val="0"/>
        <w:snapToGrid w:val="0"/>
        <w:spacing w:before="120" w:beforeLines="50" w:line="360" w:lineRule="auto"/>
        <w:rPr>
          <w:rFonts w:hint="eastAsia" w:ascii="宋体" w:hAnsi="宋体"/>
          <w:sz w:val="24"/>
        </w:rPr>
      </w:pPr>
      <w:r>
        <w:rPr>
          <w:rFonts w:hint="eastAsia" w:ascii="宋体" w:hAnsi="宋体"/>
          <w:sz w:val="24"/>
        </w:rPr>
        <w:t xml:space="preserve">8.1 中标人未按要求履行合同义务时，采购人有权拒绝验收，且中标人须向采购人支付合同总额 10%的违约金；逾期交付的货物或工程，从逾期之日起每日向采购人支付人民币 500 元违约金；逾期 15 日以上时，中标人向采购人支付合同金额的 10%违约金，采购人有权终止合同，由此造成采购人的经济损失由中标人承担。  </w:t>
      </w:r>
    </w:p>
    <w:p>
      <w:pPr>
        <w:adjustRightInd w:val="0"/>
        <w:snapToGrid w:val="0"/>
        <w:spacing w:before="120" w:beforeLines="50" w:line="360" w:lineRule="auto"/>
        <w:rPr>
          <w:rFonts w:hint="eastAsia" w:ascii="宋体" w:hAnsi="宋体"/>
          <w:sz w:val="24"/>
        </w:rPr>
      </w:pPr>
      <w:r>
        <w:rPr>
          <w:rFonts w:hint="eastAsia" w:ascii="宋体" w:hAnsi="宋体"/>
          <w:sz w:val="24"/>
        </w:rPr>
        <w:t xml:space="preserve">8.2 合同项下产品交付后，在该产品的合理使用期内，中标人发现该产品存在严重安全隐患或国家相关部门宣布明令淘汰的，中标人应及时通知采购人停止使用该产品，并须于 3 个工作日内排除该产品安全隐患，若该安全隐患无法排除或排除后该产品将丧失应有服务功能的，中标人应免费重新提供新的质量和参数不低于原产品的安全产品给采购人使用，采购人不另增加费用；若中标人未履行上述通知义务导致采购人或使用人发生人身财产损害的，由中标人负责。 </w:t>
      </w:r>
    </w:p>
    <w:p>
      <w:pPr>
        <w:adjustRightInd w:val="0"/>
        <w:snapToGrid w:val="0"/>
        <w:spacing w:before="120" w:beforeLines="50" w:line="360" w:lineRule="auto"/>
        <w:rPr>
          <w:rFonts w:hint="eastAsia" w:ascii="宋体" w:hAnsi="宋体"/>
          <w:sz w:val="24"/>
        </w:rPr>
      </w:pPr>
      <w:r>
        <w:rPr>
          <w:rFonts w:hint="eastAsia" w:ascii="宋体" w:hAnsi="宋体"/>
          <w:sz w:val="24"/>
        </w:rPr>
        <w:t xml:space="preserve">8.3 中标人需承担由于货物的质量原因造成的一切安全责任及经济责任。 </w:t>
      </w:r>
    </w:p>
    <w:p>
      <w:pPr>
        <w:adjustRightInd w:val="0"/>
        <w:snapToGrid w:val="0"/>
        <w:spacing w:before="120" w:beforeLines="50" w:line="360" w:lineRule="auto"/>
        <w:rPr>
          <w:rFonts w:hint="eastAsia" w:ascii="宋体" w:hAnsi="宋体"/>
          <w:sz w:val="24"/>
        </w:rPr>
      </w:pPr>
      <w:r>
        <w:rPr>
          <w:rFonts w:hint="eastAsia" w:ascii="宋体" w:hAnsi="宋体"/>
          <w:sz w:val="24"/>
        </w:rPr>
        <w:t xml:space="preserve">8.4 其它违约责任按《中华人民共和国合同法》、《中华人民共和国消费者权益保护法》、《中华人民共和国产品质量法》处理。 </w:t>
      </w:r>
    </w:p>
    <w:p>
      <w:pPr>
        <w:pStyle w:val="32"/>
        <w:spacing w:before="156" w:beforeAutospacing="0" w:line="38" w:lineRule="atLeast"/>
        <w:rPr>
          <w:rStyle w:val="40"/>
          <w:sz w:val="28"/>
          <w:szCs w:val="28"/>
        </w:rPr>
      </w:pPr>
      <w:bookmarkStart w:id="297" w:name="_Toc18940_WPSOffice_Level2"/>
      <w:bookmarkStart w:id="298" w:name="_Toc32575_WPSOffice_Level3"/>
      <w:r>
        <w:rPr>
          <w:rFonts w:hint="eastAsia" w:cs="Times New Roman"/>
          <w:b/>
          <w:bCs/>
          <w:kern w:val="2"/>
          <w:sz w:val="28"/>
          <w:szCs w:val="28"/>
        </w:rPr>
        <w:t>八、其他要求及说明</w:t>
      </w:r>
      <w:bookmarkEnd w:id="297"/>
      <w:bookmarkEnd w:id="298"/>
    </w:p>
    <w:p>
      <w:pPr>
        <w:adjustRightInd w:val="0"/>
        <w:snapToGrid w:val="0"/>
        <w:spacing w:before="120" w:beforeLines="50" w:line="360" w:lineRule="auto"/>
        <w:rPr>
          <w:rFonts w:ascii="宋体" w:hAnsi="宋体"/>
          <w:sz w:val="24"/>
        </w:rPr>
      </w:pPr>
      <w:r>
        <w:rPr>
          <w:rFonts w:hint="eastAsia" w:ascii="宋体" w:hAnsi="宋体"/>
          <w:sz w:val="24"/>
        </w:rPr>
        <w:t>1、投标报价为采购人指定地点的现场交货价，包括：（1）货物的价格；（2）运输、装卸、调试、培训、技术支持、售后服务等费用；（3）必要的保险费用和各项税费；（4）包括安装费用，采购人不再支付任何费用。</w:t>
      </w:r>
    </w:p>
    <w:p>
      <w:pPr>
        <w:adjustRightInd w:val="0"/>
        <w:snapToGrid w:val="0"/>
        <w:spacing w:before="120" w:beforeLines="50" w:line="360" w:lineRule="auto"/>
        <w:rPr>
          <w:rFonts w:hint="eastAsia" w:ascii="宋体" w:hAnsi="宋体"/>
          <w:sz w:val="24"/>
        </w:rPr>
      </w:pPr>
      <w:r>
        <w:rPr>
          <w:rFonts w:hint="eastAsia" w:ascii="宋体" w:hAnsi="宋体"/>
          <w:sz w:val="24"/>
        </w:rPr>
        <w:t>2、付款方式：经采购人验收合格且采购人收到中标人合同总金额 3%的履约保证金后，采购人向中标人支付合同全款。</w:t>
      </w:r>
    </w:p>
    <w:p>
      <w:pPr>
        <w:adjustRightInd w:val="0"/>
        <w:snapToGrid w:val="0"/>
        <w:spacing w:before="120" w:beforeLines="50" w:line="360" w:lineRule="auto"/>
        <w:rPr>
          <w:rFonts w:ascii="宋体" w:hAnsi="宋体"/>
          <w:sz w:val="24"/>
        </w:rPr>
      </w:pPr>
      <w:r>
        <w:rPr>
          <w:rFonts w:hint="eastAsia" w:ascii="宋体" w:hAnsi="宋体"/>
          <w:sz w:val="24"/>
        </w:rPr>
        <w:t>3、履约保证金及质保金：合同签订之前，供应商按合同金额的3</w:t>
      </w:r>
      <w:r>
        <w:rPr>
          <w:rFonts w:ascii="宋体" w:hAnsi="宋体"/>
          <w:sz w:val="24"/>
        </w:rPr>
        <w:t>%</w:t>
      </w:r>
      <w:r>
        <w:rPr>
          <w:rFonts w:hint="eastAsia" w:ascii="宋体" w:hAnsi="宋体"/>
          <w:sz w:val="24"/>
        </w:rPr>
        <w:t>向采购人交纳履约保证金，履约保证金在供应商按合同约定交货验收合格后转为质量保证金，满3年后在</w:t>
      </w:r>
      <w:r>
        <w:rPr>
          <w:rFonts w:ascii="宋体" w:hAnsi="宋体"/>
          <w:sz w:val="24"/>
        </w:rPr>
        <w:t>20</w:t>
      </w:r>
      <w:r>
        <w:rPr>
          <w:rFonts w:hint="eastAsia" w:ascii="宋体" w:hAnsi="宋体"/>
          <w:sz w:val="24"/>
        </w:rPr>
        <w:t>个工作日内一次性无息返还。</w:t>
      </w:r>
    </w:p>
    <w:p>
      <w:pPr>
        <w:adjustRightInd w:val="0"/>
        <w:snapToGrid w:val="0"/>
        <w:spacing w:before="120" w:beforeLines="50" w:line="360" w:lineRule="auto"/>
        <w:rPr>
          <w:rFonts w:ascii="宋体" w:hAnsi="宋体"/>
          <w:b/>
          <w:bCs/>
          <w:sz w:val="24"/>
        </w:rPr>
      </w:pPr>
      <w:r>
        <w:rPr>
          <w:rFonts w:hint="eastAsia" w:ascii="宋体" w:hAnsi="宋体"/>
          <w:b/>
          <w:bCs/>
          <w:sz w:val="24"/>
        </w:rPr>
        <w:t>4、样品要求：供应商须携带急救箱、医疗箱内样品1份（应包含配置清单中所列所有产品），两个箱内相同物品只需提供1份样品</w:t>
      </w:r>
      <w:r>
        <w:rPr>
          <w:rFonts w:hint="eastAsia" w:ascii="宋体" w:hAnsi="宋体" w:cs="宋体"/>
          <w:b/>
          <w:bCs/>
          <w:sz w:val="24"/>
        </w:rPr>
        <w:t>，放入箱内，在正面贴上投标人名称、项目名称和项目编号等信息的标签，</w:t>
      </w:r>
      <w:r>
        <w:rPr>
          <w:rFonts w:hint="eastAsia" w:ascii="宋体" w:hAnsi="宋体"/>
          <w:b/>
          <w:bCs/>
          <w:sz w:val="24"/>
        </w:rPr>
        <w:t>所提供材料样品须满足参数要求，作为核实投标人所报参数是否满足采购要求的依据。中标供应商样品不退，作为验收依据之一。其余未中标供应商的样品在评标结束后予以退回，不及时领取样品所造成的损失，投标人自行承担。</w:t>
      </w:r>
    </w:p>
    <w:p>
      <w:bookmarkStart w:id="299" w:name="_Toc25325_WPSOffice_Level1"/>
      <w:bookmarkStart w:id="300" w:name="_Toc17377_WPSOffice_Level2"/>
      <w:bookmarkStart w:id="301" w:name="_Toc60996698"/>
      <w:bookmarkStart w:id="302" w:name="_第七章____评标办法（综合评分法）"/>
    </w:p>
    <w:p>
      <w:pPr>
        <w:pStyle w:val="13"/>
      </w:pPr>
    </w:p>
    <w:p>
      <w:pPr>
        <w:pStyle w:val="3"/>
        <w:ind w:left="0" w:firstLine="0"/>
        <w:jc w:val="center"/>
        <w:rPr>
          <w:rFonts w:ascii="黑体"/>
          <w:sz w:val="32"/>
          <w:szCs w:val="32"/>
        </w:rPr>
      </w:pPr>
      <w:bookmarkStart w:id="303" w:name="_Toc84455602"/>
      <w:r>
        <w:rPr>
          <w:rFonts w:hint="eastAsia" w:ascii="黑体"/>
          <w:sz w:val="32"/>
          <w:szCs w:val="32"/>
        </w:rPr>
        <w:t>第六章  评审办法</w:t>
      </w:r>
      <w:bookmarkEnd w:id="299"/>
      <w:bookmarkEnd w:id="300"/>
      <w:bookmarkEnd w:id="301"/>
      <w:bookmarkEnd w:id="303"/>
    </w:p>
    <w:bookmarkEnd w:id="302"/>
    <w:p>
      <w:pPr>
        <w:pStyle w:val="4"/>
        <w:spacing w:before="0" w:line="240" w:lineRule="atLeast"/>
        <w:ind w:left="0" w:firstLine="0"/>
        <w:jc w:val="center"/>
        <w:rPr>
          <w:rFonts w:ascii="宋体" w:hAnsi="宋体" w:eastAsia="宋体"/>
          <w:sz w:val="24"/>
          <w:szCs w:val="24"/>
        </w:rPr>
      </w:pPr>
      <w:bookmarkStart w:id="304" w:name="_Toc22745_WPSOffice_Level2"/>
      <w:bookmarkStart w:id="305" w:name="_Toc22394_WPSOffice_Level3"/>
      <w:bookmarkStart w:id="306" w:name="_综合评分前附表"/>
      <w:bookmarkStart w:id="307" w:name="_Toc84455603"/>
      <w:r>
        <w:rPr>
          <w:rFonts w:hint="eastAsia" w:ascii="宋体" w:hAnsi="宋体" w:eastAsia="宋体"/>
          <w:sz w:val="24"/>
          <w:szCs w:val="24"/>
        </w:rPr>
        <w:t>评审办法前附</w:t>
      </w:r>
      <w:bookmarkEnd w:id="304"/>
      <w:bookmarkEnd w:id="305"/>
      <w:bookmarkEnd w:id="306"/>
      <w:r>
        <w:rPr>
          <w:rFonts w:hint="eastAsia" w:ascii="宋体" w:hAnsi="宋体" w:eastAsia="宋体"/>
          <w:sz w:val="24"/>
          <w:szCs w:val="24"/>
        </w:rPr>
        <w:t>表</w:t>
      </w:r>
      <w:bookmarkEnd w:id="307"/>
    </w:p>
    <w:tbl>
      <w:tblPr>
        <w:tblStyle w:val="37"/>
        <w:tblpPr w:leftFromText="180" w:rightFromText="180" w:vertAnchor="text" w:horzAnchor="page" w:tblpX="1543" w:tblpY="110"/>
        <w:tblOverlap w:val="never"/>
        <w:tblW w:w="929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1397"/>
        <w:gridCol w:w="62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1634" w:type="dxa"/>
            <w:gridSpan w:val="2"/>
            <w:tcBorders>
              <w:top w:val="single" w:color="auto" w:sz="12" w:space="0"/>
            </w:tcBorders>
            <w:vAlign w:val="center"/>
          </w:tcPr>
          <w:p>
            <w:pPr>
              <w:jc w:val="center"/>
              <w:rPr>
                <w:rFonts w:ascii="宋体"/>
                <w:b/>
                <w:szCs w:val="21"/>
              </w:rPr>
            </w:pPr>
            <w:bookmarkStart w:id="308" w:name="_Toc31028"/>
            <w:bookmarkStart w:id="309" w:name="_Toc60996699"/>
            <w:r>
              <w:rPr>
                <w:rFonts w:hint="eastAsia" w:ascii="宋体" w:hAnsi="宋体"/>
                <w:b/>
                <w:szCs w:val="21"/>
              </w:rPr>
              <w:t>条款号</w:t>
            </w:r>
          </w:p>
        </w:tc>
        <w:tc>
          <w:tcPr>
            <w:tcW w:w="1397" w:type="dxa"/>
            <w:tcBorders>
              <w:top w:val="single" w:color="auto" w:sz="12" w:space="0"/>
            </w:tcBorders>
            <w:vAlign w:val="center"/>
          </w:tcPr>
          <w:p>
            <w:pPr>
              <w:jc w:val="center"/>
              <w:rPr>
                <w:rFonts w:ascii="宋体"/>
                <w:b/>
                <w:szCs w:val="21"/>
              </w:rPr>
            </w:pPr>
            <w:r>
              <w:rPr>
                <w:rFonts w:hint="eastAsia" w:ascii="宋体" w:hAnsi="宋体"/>
                <w:b/>
                <w:szCs w:val="21"/>
              </w:rPr>
              <w:t>评审因素</w:t>
            </w:r>
          </w:p>
        </w:tc>
        <w:tc>
          <w:tcPr>
            <w:tcW w:w="6265" w:type="dxa"/>
            <w:tcBorders>
              <w:top w:val="single" w:color="auto" w:sz="12" w:space="0"/>
            </w:tcBorders>
            <w:vAlign w:val="center"/>
          </w:tcPr>
          <w:p>
            <w:pPr>
              <w:jc w:val="center"/>
              <w:rPr>
                <w:rFonts w:ascii="宋体"/>
                <w:b/>
                <w:szCs w:val="21"/>
              </w:rPr>
            </w:pPr>
            <w:r>
              <w:rPr>
                <w:rFonts w:hint="eastAsia" w:ascii="宋体" w:hAnsi="宋体"/>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restart"/>
            <w:tcBorders>
              <w:top w:val="single" w:color="auto" w:sz="12" w:space="0"/>
            </w:tcBorders>
            <w:vAlign w:val="center"/>
          </w:tcPr>
          <w:p>
            <w:pPr>
              <w:jc w:val="center"/>
              <w:rPr>
                <w:rFonts w:ascii="宋体" w:hAnsi="宋体"/>
                <w:b/>
                <w:szCs w:val="21"/>
              </w:rPr>
            </w:pPr>
            <w:r>
              <w:rPr>
                <w:rFonts w:hint="eastAsia" w:ascii="宋体" w:hAnsi="宋体"/>
                <w:b/>
                <w:szCs w:val="21"/>
              </w:rPr>
              <w:t>1</w:t>
            </w:r>
          </w:p>
        </w:tc>
        <w:tc>
          <w:tcPr>
            <w:tcW w:w="817" w:type="dxa"/>
            <w:vMerge w:val="restart"/>
            <w:tcBorders>
              <w:top w:val="single" w:color="auto" w:sz="12" w:space="0"/>
            </w:tcBorders>
            <w:vAlign w:val="center"/>
          </w:tcPr>
          <w:p>
            <w:pPr>
              <w:jc w:val="center"/>
              <w:rPr>
                <w:rFonts w:ascii="宋体" w:hAnsi="宋体"/>
                <w:b/>
                <w:szCs w:val="21"/>
              </w:rPr>
            </w:pPr>
            <w:r>
              <w:rPr>
                <w:rFonts w:hint="eastAsia" w:ascii="宋体" w:hAnsi="宋体"/>
                <w:szCs w:val="21"/>
              </w:rPr>
              <w:t>资格审查</w:t>
            </w:r>
          </w:p>
        </w:tc>
        <w:tc>
          <w:tcPr>
            <w:tcW w:w="1397" w:type="dxa"/>
            <w:tcBorders>
              <w:top w:val="single" w:color="auto" w:sz="12" w:space="0"/>
            </w:tcBorders>
            <w:vAlign w:val="center"/>
          </w:tcPr>
          <w:p>
            <w:pPr>
              <w:jc w:val="center"/>
              <w:rPr>
                <w:rFonts w:ascii="宋体" w:hAnsi="宋体"/>
                <w:b/>
                <w:szCs w:val="21"/>
              </w:rPr>
            </w:pPr>
            <w:r>
              <w:rPr>
                <w:rFonts w:hint="eastAsia"/>
                <w:szCs w:val="21"/>
              </w:rPr>
              <w:t>营业执照</w:t>
            </w:r>
          </w:p>
        </w:tc>
        <w:tc>
          <w:tcPr>
            <w:tcW w:w="6265" w:type="dxa"/>
            <w:tcBorders>
              <w:top w:val="single" w:color="auto" w:sz="12" w:space="0"/>
            </w:tcBorders>
            <w:vAlign w:val="center"/>
          </w:tcPr>
          <w:p>
            <w:pPr>
              <w:jc w:val="left"/>
              <w:rPr>
                <w:rFonts w:ascii="宋体" w:hAnsi="宋体"/>
                <w:bCs/>
                <w:szCs w:val="21"/>
              </w:rPr>
            </w:pPr>
            <w:r>
              <w:rPr>
                <w:rFonts w:hint="eastAsia" w:ascii="宋体" w:hAnsi="宋体"/>
                <w:bCs/>
                <w:szCs w:val="21"/>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continue"/>
            <w:vAlign w:val="center"/>
          </w:tcPr>
          <w:p>
            <w:pPr>
              <w:jc w:val="center"/>
              <w:rPr>
                <w:rFonts w:ascii="宋体" w:hAnsi="宋体"/>
                <w:b/>
                <w:szCs w:val="21"/>
              </w:rPr>
            </w:pPr>
          </w:p>
        </w:tc>
        <w:tc>
          <w:tcPr>
            <w:tcW w:w="817" w:type="dxa"/>
            <w:vMerge w:val="continue"/>
            <w:vAlign w:val="center"/>
          </w:tcPr>
          <w:p>
            <w:pPr>
              <w:jc w:val="center"/>
              <w:rPr>
                <w:rFonts w:ascii="宋体" w:hAnsi="宋体"/>
                <w:szCs w:val="21"/>
              </w:rPr>
            </w:pPr>
          </w:p>
        </w:tc>
        <w:tc>
          <w:tcPr>
            <w:tcW w:w="1397" w:type="dxa"/>
            <w:tcBorders>
              <w:top w:val="single" w:color="auto" w:sz="12" w:space="0"/>
            </w:tcBorders>
            <w:vAlign w:val="center"/>
          </w:tcPr>
          <w:p>
            <w:pPr>
              <w:jc w:val="center"/>
              <w:rPr>
                <w:szCs w:val="21"/>
              </w:rPr>
            </w:pPr>
            <w:r>
              <w:rPr>
                <w:rFonts w:hint="eastAsia"/>
                <w:szCs w:val="21"/>
              </w:rPr>
              <w:t>财务状况</w:t>
            </w:r>
          </w:p>
        </w:tc>
        <w:tc>
          <w:tcPr>
            <w:tcW w:w="6265" w:type="dxa"/>
            <w:vAlign w:val="center"/>
          </w:tcPr>
          <w:p>
            <w:pPr>
              <w:jc w:val="left"/>
              <w:rPr>
                <w:szCs w:val="21"/>
              </w:rPr>
            </w:pPr>
            <w:r>
              <w:rPr>
                <w:rFonts w:hint="eastAsia" w:ascii="宋体" w:hAnsi="宋体"/>
                <w:bCs/>
                <w:szCs w:val="21"/>
              </w:rPr>
              <w:t>供应商</w:t>
            </w:r>
            <w:r>
              <w:rPr>
                <w:rFonts w:ascii="宋体" w:hAnsi="宋体"/>
                <w:bCs/>
                <w:szCs w:val="21"/>
              </w:rPr>
              <w:t>201</w:t>
            </w:r>
            <w:r>
              <w:rPr>
                <w:rFonts w:hint="eastAsia" w:ascii="宋体" w:hAnsi="宋体"/>
                <w:bCs/>
                <w:szCs w:val="21"/>
              </w:rPr>
              <w:t>8年度至今任意一个年度的财务状况报告复印件，如资产负债表、现金流量表、利润表和财务情况说明书（2020年以后新成立企业此项不参与考核）。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continue"/>
            <w:vAlign w:val="center"/>
          </w:tcPr>
          <w:p>
            <w:pPr>
              <w:jc w:val="center"/>
              <w:rPr>
                <w:rFonts w:ascii="宋体" w:hAnsi="宋体"/>
                <w:b/>
                <w:szCs w:val="21"/>
              </w:rPr>
            </w:pPr>
          </w:p>
        </w:tc>
        <w:tc>
          <w:tcPr>
            <w:tcW w:w="817" w:type="dxa"/>
            <w:vMerge w:val="continue"/>
            <w:vAlign w:val="center"/>
          </w:tcPr>
          <w:p>
            <w:pPr>
              <w:jc w:val="center"/>
              <w:rPr>
                <w:rFonts w:ascii="宋体" w:hAnsi="宋体"/>
                <w:szCs w:val="21"/>
              </w:rPr>
            </w:pPr>
          </w:p>
        </w:tc>
        <w:tc>
          <w:tcPr>
            <w:tcW w:w="1397" w:type="dxa"/>
            <w:tcBorders>
              <w:top w:val="single" w:color="auto" w:sz="12" w:space="0"/>
            </w:tcBorders>
            <w:vAlign w:val="center"/>
          </w:tcPr>
          <w:p>
            <w:pPr>
              <w:jc w:val="center"/>
              <w:rPr>
                <w:szCs w:val="21"/>
              </w:rPr>
            </w:pPr>
            <w:r>
              <w:rPr>
                <w:rFonts w:hint="eastAsia"/>
                <w:szCs w:val="21"/>
              </w:rPr>
              <w:t>缴纳税收情况</w:t>
            </w:r>
          </w:p>
        </w:tc>
        <w:tc>
          <w:tcPr>
            <w:tcW w:w="6265" w:type="dxa"/>
            <w:vAlign w:val="center"/>
          </w:tcPr>
          <w:p>
            <w:pPr>
              <w:jc w:val="left"/>
              <w:rPr>
                <w:rFonts w:ascii="宋体" w:hAnsi="宋体"/>
                <w:b/>
                <w:szCs w:val="21"/>
              </w:rPr>
            </w:pPr>
            <w:r>
              <w:rPr>
                <w:rFonts w:hint="eastAsia" w:ascii="宋体"/>
                <w:bCs/>
                <w:szCs w:val="21"/>
              </w:rPr>
              <w:t>供应商</w:t>
            </w:r>
            <w:r>
              <w:rPr>
                <w:rFonts w:ascii="宋体"/>
                <w:bCs/>
                <w:szCs w:val="21"/>
              </w:rPr>
              <w:t>20</w:t>
            </w:r>
            <w:r>
              <w:rPr>
                <w:rFonts w:hint="eastAsia" w:ascii="宋体"/>
                <w:bCs/>
                <w:szCs w:val="21"/>
              </w:rPr>
              <w:t>21年1月至今期间（税款所属时期）任意1个月的税务局税收通用缴款书复印件或银行电子缴税（费）凭证复印件或税务局出具纳税情况的相关证明复印件。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continue"/>
            <w:vAlign w:val="center"/>
          </w:tcPr>
          <w:p>
            <w:pPr>
              <w:jc w:val="center"/>
              <w:rPr>
                <w:rFonts w:ascii="宋体" w:hAnsi="宋体"/>
                <w:b/>
                <w:szCs w:val="21"/>
              </w:rPr>
            </w:pPr>
          </w:p>
        </w:tc>
        <w:tc>
          <w:tcPr>
            <w:tcW w:w="817" w:type="dxa"/>
            <w:vMerge w:val="continue"/>
            <w:vAlign w:val="center"/>
          </w:tcPr>
          <w:p>
            <w:pPr>
              <w:jc w:val="center"/>
              <w:rPr>
                <w:rFonts w:ascii="宋体" w:hAnsi="宋体"/>
                <w:szCs w:val="21"/>
              </w:rPr>
            </w:pPr>
          </w:p>
        </w:tc>
        <w:tc>
          <w:tcPr>
            <w:tcW w:w="1397" w:type="dxa"/>
            <w:tcBorders>
              <w:top w:val="single" w:color="auto" w:sz="12" w:space="0"/>
            </w:tcBorders>
            <w:vAlign w:val="center"/>
          </w:tcPr>
          <w:p>
            <w:pPr>
              <w:jc w:val="center"/>
              <w:rPr>
                <w:szCs w:val="21"/>
              </w:rPr>
            </w:pPr>
            <w:r>
              <w:rPr>
                <w:rFonts w:hint="eastAsia"/>
                <w:szCs w:val="21"/>
              </w:rPr>
              <w:t>缴纳社保情况</w:t>
            </w:r>
          </w:p>
        </w:tc>
        <w:tc>
          <w:tcPr>
            <w:tcW w:w="6265" w:type="dxa"/>
            <w:vAlign w:val="center"/>
          </w:tcPr>
          <w:p>
            <w:pPr>
              <w:jc w:val="left"/>
              <w:rPr>
                <w:rFonts w:ascii="宋体" w:hAnsi="宋体"/>
                <w:b/>
                <w:szCs w:val="21"/>
              </w:rPr>
            </w:pPr>
            <w:r>
              <w:rPr>
                <w:rFonts w:hint="eastAsia" w:ascii="宋体"/>
                <w:bCs/>
                <w:szCs w:val="21"/>
              </w:rPr>
              <w:t>供应商</w:t>
            </w:r>
            <w:r>
              <w:rPr>
                <w:rFonts w:ascii="宋体"/>
                <w:bCs/>
                <w:szCs w:val="21"/>
              </w:rPr>
              <w:t>20</w:t>
            </w:r>
            <w:r>
              <w:rPr>
                <w:rFonts w:hint="eastAsia" w:ascii="宋体"/>
                <w:bCs/>
                <w:szCs w:val="21"/>
              </w:rPr>
              <w:t>21年1月至今期间（费款所属时期）任意1个月的社会保险费缴款书复印件或银行电子缴税（费）凭证复印件或社保管理部门出具的有效的缴款证明复印件。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continue"/>
            <w:vAlign w:val="center"/>
          </w:tcPr>
          <w:p>
            <w:pPr>
              <w:jc w:val="center"/>
              <w:rPr>
                <w:rFonts w:ascii="宋体" w:hAnsi="宋体"/>
                <w:b/>
                <w:szCs w:val="21"/>
              </w:rPr>
            </w:pPr>
          </w:p>
        </w:tc>
        <w:tc>
          <w:tcPr>
            <w:tcW w:w="817" w:type="dxa"/>
            <w:vMerge w:val="continue"/>
            <w:vAlign w:val="center"/>
          </w:tcPr>
          <w:p>
            <w:pPr>
              <w:jc w:val="center"/>
              <w:rPr>
                <w:rFonts w:ascii="宋体" w:hAnsi="宋体"/>
                <w:szCs w:val="21"/>
              </w:rPr>
            </w:pPr>
          </w:p>
        </w:tc>
        <w:tc>
          <w:tcPr>
            <w:tcW w:w="1397" w:type="dxa"/>
            <w:vMerge w:val="restart"/>
            <w:tcBorders>
              <w:top w:val="single" w:color="auto" w:sz="12" w:space="0"/>
            </w:tcBorders>
            <w:vAlign w:val="center"/>
          </w:tcPr>
          <w:p>
            <w:pPr>
              <w:jc w:val="center"/>
              <w:rPr>
                <w:szCs w:val="21"/>
              </w:rPr>
            </w:pPr>
            <w:r>
              <w:rPr>
                <w:rFonts w:hint="eastAsia"/>
                <w:szCs w:val="21"/>
              </w:rPr>
              <w:t>信誉</w:t>
            </w:r>
          </w:p>
        </w:tc>
        <w:tc>
          <w:tcPr>
            <w:tcW w:w="6265" w:type="dxa"/>
            <w:vAlign w:val="center"/>
          </w:tcPr>
          <w:p>
            <w:pPr>
              <w:jc w:val="left"/>
              <w:rPr>
                <w:rFonts w:ascii="宋体" w:hAnsi="宋体"/>
                <w:b/>
                <w:szCs w:val="21"/>
              </w:rPr>
            </w:pPr>
            <w:r>
              <w:rPr>
                <w:rFonts w:hint="eastAsia" w:ascii="宋体" w:hAnsi="宋体"/>
                <w:bCs/>
                <w:szCs w:val="21"/>
              </w:rPr>
              <w:t>供应商参加政府采购活动前</w:t>
            </w:r>
            <w:r>
              <w:rPr>
                <w:rFonts w:ascii="宋体" w:hAnsi="宋体"/>
                <w:bCs/>
                <w:szCs w:val="21"/>
              </w:rPr>
              <w:t>3</w:t>
            </w:r>
            <w:r>
              <w:rPr>
                <w:rFonts w:hint="eastAsia" w:ascii="宋体" w:hAnsi="宋体"/>
                <w:bCs/>
                <w:szCs w:val="21"/>
              </w:rPr>
              <w:t>年内在经营活动中没有重大违法记录的书面声明，须提供书面声明并加盖公章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continue"/>
            <w:vAlign w:val="center"/>
          </w:tcPr>
          <w:p>
            <w:pPr>
              <w:jc w:val="center"/>
              <w:rPr>
                <w:rFonts w:ascii="宋体" w:hAnsi="宋体"/>
                <w:b/>
                <w:szCs w:val="21"/>
              </w:rPr>
            </w:pPr>
          </w:p>
        </w:tc>
        <w:tc>
          <w:tcPr>
            <w:tcW w:w="817" w:type="dxa"/>
            <w:vMerge w:val="continue"/>
            <w:vAlign w:val="center"/>
          </w:tcPr>
          <w:p>
            <w:pPr>
              <w:jc w:val="center"/>
              <w:rPr>
                <w:rFonts w:ascii="宋体" w:hAnsi="宋体"/>
                <w:szCs w:val="21"/>
              </w:rPr>
            </w:pPr>
          </w:p>
        </w:tc>
        <w:tc>
          <w:tcPr>
            <w:tcW w:w="1397" w:type="dxa"/>
            <w:vMerge w:val="continue"/>
            <w:vAlign w:val="center"/>
          </w:tcPr>
          <w:p>
            <w:pPr>
              <w:jc w:val="center"/>
              <w:rPr>
                <w:rFonts w:ascii="宋体" w:hAnsi="宋体"/>
                <w:b/>
                <w:szCs w:val="21"/>
              </w:rPr>
            </w:pPr>
          </w:p>
        </w:tc>
        <w:tc>
          <w:tcPr>
            <w:tcW w:w="6265" w:type="dxa"/>
            <w:vAlign w:val="center"/>
          </w:tcPr>
          <w:p>
            <w:pPr>
              <w:jc w:val="left"/>
              <w:rPr>
                <w:rFonts w:ascii="宋体" w:hAnsi="宋体"/>
                <w:b/>
                <w:szCs w:val="21"/>
              </w:rPr>
            </w:pPr>
            <w:r>
              <w:rPr>
                <w:rFonts w:hint="eastAsia" w:ascii="宋体" w:hAnsi="宋体"/>
                <w:bCs/>
                <w:szCs w:val="21"/>
              </w:rPr>
              <w:t>供应商在投标截止时间前未被列入“信用中国”网站（www.creditchina.gov.cn）失信被执行人、重大税收违法案件当事人名单、政府采购严重违法失信行为记录名单，须提供查询结果网页截图和承诺函。若为失信企业，将取消中标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8" w:hRule="atLeast"/>
        </w:trPr>
        <w:tc>
          <w:tcPr>
            <w:tcW w:w="817" w:type="dxa"/>
            <w:vMerge w:val="continue"/>
            <w:vAlign w:val="center"/>
          </w:tcPr>
          <w:p>
            <w:pPr>
              <w:jc w:val="center"/>
              <w:rPr>
                <w:rFonts w:ascii="宋体" w:hAnsi="宋体"/>
                <w:b/>
                <w:szCs w:val="21"/>
              </w:rPr>
            </w:pPr>
          </w:p>
        </w:tc>
        <w:tc>
          <w:tcPr>
            <w:tcW w:w="817" w:type="dxa"/>
            <w:vMerge w:val="continue"/>
            <w:vAlign w:val="center"/>
          </w:tcPr>
          <w:p>
            <w:pPr>
              <w:jc w:val="center"/>
              <w:rPr>
                <w:rFonts w:ascii="宋体" w:hAnsi="宋体"/>
                <w:szCs w:val="21"/>
              </w:rPr>
            </w:pPr>
          </w:p>
        </w:tc>
        <w:tc>
          <w:tcPr>
            <w:tcW w:w="1397" w:type="dxa"/>
            <w:tcBorders>
              <w:top w:val="single" w:color="auto" w:sz="12" w:space="0"/>
            </w:tcBorders>
            <w:vAlign w:val="center"/>
          </w:tcPr>
          <w:p>
            <w:pPr>
              <w:jc w:val="center"/>
              <w:rPr>
                <w:rFonts w:ascii="宋体" w:hAnsi="宋体"/>
                <w:b/>
                <w:szCs w:val="21"/>
              </w:rPr>
            </w:pPr>
            <w:r>
              <w:rPr>
                <w:rFonts w:hint="eastAsia" w:ascii="宋体" w:hAnsi="宋体"/>
                <w:bCs/>
                <w:szCs w:val="21"/>
              </w:rPr>
              <w:t>谈判保证金</w:t>
            </w:r>
          </w:p>
        </w:tc>
        <w:tc>
          <w:tcPr>
            <w:tcW w:w="6265" w:type="dxa"/>
            <w:vAlign w:val="center"/>
          </w:tcPr>
          <w:p>
            <w:pPr>
              <w:jc w:val="left"/>
              <w:rPr>
                <w:rFonts w:ascii="宋体" w:hAnsi="宋体"/>
                <w:bCs/>
                <w:szCs w:val="21"/>
              </w:rPr>
            </w:pPr>
            <w:r>
              <w:rPr>
                <w:rFonts w:hint="eastAsia" w:ascii="宋体" w:hAnsi="宋体"/>
                <w:bCs/>
                <w:szCs w:val="21"/>
              </w:rPr>
              <w:t>足额缴纳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9" w:hRule="atLeast"/>
        </w:trPr>
        <w:tc>
          <w:tcPr>
            <w:tcW w:w="817" w:type="dxa"/>
            <w:vMerge w:val="restart"/>
            <w:vAlign w:val="center"/>
          </w:tcPr>
          <w:p>
            <w:pPr>
              <w:jc w:val="center"/>
              <w:rPr>
                <w:rFonts w:ascii="宋体" w:hAnsi="宋体"/>
                <w:szCs w:val="21"/>
              </w:rPr>
            </w:pPr>
            <w:r>
              <w:rPr>
                <w:rFonts w:hint="eastAsia" w:ascii="宋体" w:hAnsi="宋体"/>
                <w:szCs w:val="21"/>
              </w:rPr>
              <w:t>2</w:t>
            </w:r>
          </w:p>
        </w:tc>
        <w:tc>
          <w:tcPr>
            <w:tcW w:w="817" w:type="dxa"/>
            <w:vMerge w:val="restart"/>
            <w:vAlign w:val="center"/>
          </w:tcPr>
          <w:p>
            <w:pPr>
              <w:jc w:val="center"/>
              <w:rPr>
                <w:rFonts w:ascii="宋体"/>
                <w:szCs w:val="21"/>
              </w:rPr>
            </w:pPr>
            <w:r>
              <w:rPr>
                <w:rFonts w:hint="eastAsia" w:ascii="宋体" w:hAnsi="宋体"/>
                <w:szCs w:val="21"/>
              </w:rPr>
              <w:t>符合</w:t>
            </w:r>
          </w:p>
          <w:p>
            <w:pPr>
              <w:jc w:val="center"/>
              <w:rPr>
                <w:rFonts w:ascii="宋体"/>
                <w:szCs w:val="21"/>
              </w:rPr>
            </w:pPr>
            <w:r>
              <w:rPr>
                <w:rFonts w:hint="eastAsia" w:ascii="宋体" w:hAnsi="宋体"/>
                <w:szCs w:val="21"/>
              </w:rPr>
              <w:t>性审查</w:t>
            </w:r>
          </w:p>
          <w:p>
            <w:pPr>
              <w:jc w:val="center"/>
              <w:rPr>
                <w:rFonts w:ascii="宋体"/>
                <w:szCs w:val="21"/>
              </w:rPr>
            </w:pPr>
          </w:p>
        </w:tc>
        <w:tc>
          <w:tcPr>
            <w:tcW w:w="1397" w:type="dxa"/>
            <w:vAlign w:val="center"/>
          </w:tcPr>
          <w:p>
            <w:pPr>
              <w:jc w:val="center"/>
              <w:rPr>
                <w:rFonts w:ascii="宋体"/>
                <w:szCs w:val="21"/>
              </w:rPr>
            </w:pPr>
            <w:r>
              <w:rPr>
                <w:rFonts w:hint="eastAsia" w:ascii="宋体" w:hAnsi="宋体"/>
                <w:szCs w:val="21"/>
              </w:rPr>
              <w:t>响应文件格式</w:t>
            </w:r>
          </w:p>
        </w:tc>
        <w:tc>
          <w:tcPr>
            <w:tcW w:w="6265" w:type="dxa"/>
            <w:vAlign w:val="center"/>
          </w:tcPr>
          <w:p>
            <w:pPr>
              <w:rPr>
                <w:rFonts w:ascii="宋体"/>
                <w:szCs w:val="21"/>
              </w:rPr>
            </w:pPr>
            <w:r>
              <w:rPr>
                <w:rFonts w:hint="eastAsia" w:ascii="宋体" w:hAnsi="宋体"/>
                <w:szCs w:val="21"/>
              </w:rPr>
              <w:t>响应文件按谈判文件格式及内容要求签署、盖章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9"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Align w:val="center"/>
          </w:tcPr>
          <w:p>
            <w:pPr>
              <w:jc w:val="center"/>
              <w:rPr>
                <w:rFonts w:ascii="宋体"/>
              </w:rPr>
            </w:pPr>
            <w:r>
              <w:rPr>
                <w:rFonts w:hint="eastAsia" w:ascii="宋体" w:hAnsi="宋体"/>
              </w:rPr>
              <w:t>投标函</w:t>
            </w:r>
          </w:p>
        </w:tc>
        <w:tc>
          <w:tcPr>
            <w:tcW w:w="6265" w:type="dxa"/>
            <w:vAlign w:val="center"/>
          </w:tcPr>
          <w:p>
            <w:pPr>
              <w:rPr>
                <w:rFonts w:ascii="宋体"/>
              </w:rPr>
            </w:pPr>
            <w:r>
              <w:rPr>
                <w:rFonts w:hint="eastAsia" w:ascii="宋体" w:hAnsi="宋体"/>
              </w:rPr>
              <w:t>有法定代表人签名或盖章，并加盖单位公章；符合谈判文件给定格式及内容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36"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Align w:val="center"/>
          </w:tcPr>
          <w:p>
            <w:pPr>
              <w:jc w:val="center"/>
              <w:rPr>
                <w:rFonts w:ascii="宋体"/>
              </w:rPr>
            </w:pPr>
            <w:r>
              <w:rPr>
                <w:rFonts w:hint="eastAsia" w:ascii="宋体" w:hAnsi="宋体"/>
              </w:rPr>
              <w:t>法定代表人资格证明书</w:t>
            </w:r>
          </w:p>
        </w:tc>
        <w:tc>
          <w:tcPr>
            <w:tcW w:w="6265" w:type="dxa"/>
            <w:vAlign w:val="center"/>
          </w:tcPr>
          <w:p>
            <w:pPr>
              <w:rPr>
                <w:rFonts w:ascii="宋体" w:hAnsi="宋体"/>
              </w:rPr>
            </w:pPr>
            <w:r>
              <w:rPr>
                <w:rFonts w:hint="eastAsia" w:ascii="宋体" w:hAnsi="宋体"/>
              </w:rPr>
              <w:t>符合谈判文件给定格式及内容</w:t>
            </w:r>
            <w:r>
              <w:rPr>
                <w:rFonts w:ascii="宋体"/>
              </w:rPr>
              <w:t>,</w:t>
            </w:r>
            <w:r>
              <w:rPr>
                <w:rFonts w:hint="eastAsia" w:ascii="宋体" w:hAnsi="宋体"/>
              </w:rPr>
              <w:t>并加盖单位公章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9"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Merge w:val="restart"/>
            <w:vAlign w:val="center"/>
          </w:tcPr>
          <w:p>
            <w:pPr>
              <w:jc w:val="center"/>
              <w:rPr>
                <w:rFonts w:ascii="宋体"/>
              </w:rPr>
            </w:pPr>
            <w:r>
              <w:rPr>
                <w:rFonts w:hint="eastAsia" w:ascii="宋体" w:hAnsi="宋体"/>
              </w:rPr>
              <w:t>法定代表人授权委托书</w:t>
            </w:r>
          </w:p>
        </w:tc>
        <w:tc>
          <w:tcPr>
            <w:tcW w:w="6265" w:type="dxa"/>
            <w:vAlign w:val="center"/>
          </w:tcPr>
          <w:p>
            <w:pPr>
              <w:rPr>
                <w:rFonts w:ascii="宋体" w:hAnsi="宋体"/>
              </w:rPr>
            </w:pPr>
            <w:r>
              <w:rPr>
                <w:rFonts w:hint="eastAsia" w:ascii="宋体" w:hAnsi="宋体"/>
              </w:rPr>
              <w:t>有法定代表人签名或盖章，并加盖单位公章；符合谈判文件给定格式及内容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14"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Merge w:val="continue"/>
            <w:vAlign w:val="center"/>
          </w:tcPr>
          <w:p>
            <w:pPr>
              <w:jc w:val="center"/>
              <w:rPr>
                <w:rFonts w:ascii="宋体"/>
              </w:rPr>
            </w:pPr>
          </w:p>
        </w:tc>
        <w:tc>
          <w:tcPr>
            <w:tcW w:w="6265" w:type="dxa"/>
            <w:vAlign w:val="center"/>
          </w:tcPr>
          <w:p>
            <w:pPr>
              <w:rPr>
                <w:rFonts w:ascii="宋体"/>
              </w:rPr>
            </w:pPr>
            <w:r>
              <w:rPr>
                <w:rFonts w:hint="eastAsia" w:ascii="宋体" w:hAnsi="宋体"/>
              </w:rPr>
              <w:t>注：响应文件（包括评审过程中的澄清、说明或者补正）由法定代表人签署的，不审查该项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89"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Align w:val="center"/>
          </w:tcPr>
          <w:p>
            <w:pPr>
              <w:jc w:val="center"/>
              <w:rPr>
                <w:rFonts w:ascii="宋体"/>
              </w:rPr>
            </w:pPr>
            <w:r>
              <w:rPr>
                <w:rFonts w:hint="eastAsia" w:ascii="宋体" w:hAnsi="宋体"/>
                <w:szCs w:val="21"/>
              </w:rPr>
              <w:t>投标报价</w:t>
            </w:r>
          </w:p>
        </w:tc>
        <w:tc>
          <w:tcPr>
            <w:tcW w:w="6265" w:type="dxa"/>
            <w:vAlign w:val="center"/>
          </w:tcPr>
          <w:p>
            <w:pPr>
              <w:rPr>
                <w:rFonts w:ascii="宋体"/>
              </w:rPr>
            </w:pPr>
            <w:r>
              <w:rPr>
                <w:rFonts w:hint="eastAsia" w:ascii="宋体" w:hAnsi="宋体"/>
              </w:rPr>
              <w:t>报价唯一</w:t>
            </w:r>
            <w:r>
              <w:rPr>
                <w:rFonts w:hint="eastAsia" w:ascii="宋体" w:hAnsi="宋体"/>
                <w:szCs w:val="21"/>
              </w:rPr>
              <w:t>且不得高于采购预算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79"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Align w:val="center"/>
          </w:tcPr>
          <w:p>
            <w:pPr>
              <w:jc w:val="center"/>
              <w:rPr>
                <w:rFonts w:ascii="宋体"/>
                <w:szCs w:val="21"/>
              </w:rPr>
            </w:pPr>
            <w:r>
              <w:rPr>
                <w:rFonts w:hint="eastAsia" w:ascii="宋体" w:hAnsi="宋体"/>
                <w:szCs w:val="21"/>
              </w:rPr>
              <w:t>实质性响应文件内容</w:t>
            </w:r>
          </w:p>
        </w:tc>
        <w:tc>
          <w:tcPr>
            <w:tcW w:w="6265" w:type="dxa"/>
            <w:vAlign w:val="center"/>
          </w:tcPr>
          <w:p>
            <w:pPr>
              <w:rPr>
                <w:rFonts w:ascii="宋体"/>
              </w:rPr>
            </w:pPr>
            <w:r>
              <w:rPr>
                <w:rFonts w:hint="eastAsia" w:ascii="宋体" w:hAnsi="宋体"/>
              </w:rPr>
              <w:t>实质性响应谈判文件商务及技术要求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4"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Align w:val="center"/>
          </w:tcPr>
          <w:p>
            <w:pPr>
              <w:jc w:val="center"/>
              <w:rPr>
                <w:rFonts w:ascii="宋体"/>
                <w:szCs w:val="21"/>
              </w:rPr>
            </w:pPr>
            <w:r>
              <w:rPr>
                <w:rFonts w:hint="eastAsia" w:ascii="宋体" w:hAnsi="宋体"/>
                <w:szCs w:val="21"/>
              </w:rPr>
              <w:t>投标有效期</w:t>
            </w:r>
          </w:p>
        </w:tc>
        <w:tc>
          <w:tcPr>
            <w:tcW w:w="6265" w:type="dxa"/>
            <w:vAlign w:val="center"/>
          </w:tcPr>
          <w:p>
            <w:pPr>
              <w:rPr>
                <w:rFonts w:ascii="宋体"/>
                <w:szCs w:val="21"/>
              </w:rPr>
            </w:pPr>
            <w:r>
              <w:rPr>
                <w:rFonts w:hint="eastAsia" w:ascii="宋体" w:hAnsi="宋体"/>
                <w:szCs w:val="21"/>
              </w:rPr>
              <w:t>符合第二章“供应商须知”相关规定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817" w:type="dxa"/>
            <w:vMerge w:val="continue"/>
            <w:vAlign w:val="center"/>
          </w:tcPr>
          <w:p>
            <w:pPr>
              <w:rPr>
                <w:rFonts w:ascii="宋体"/>
              </w:rPr>
            </w:pPr>
          </w:p>
        </w:tc>
        <w:tc>
          <w:tcPr>
            <w:tcW w:w="817" w:type="dxa"/>
            <w:vMerge w:val="continue"/>
            <w:vAlign w:val="center"/>
          </w:tcPr>
          <w:p>
            <w:pPr>
              <w:rPr>
                <w:rFonts w:ascii="宋体"/>
              </w:rPr>
            </w:pPr>
          </w:p>
        </w:tc>
        <w:tc>
          <w:tcPr>
            <w:tcW w:w="1397" w:type="dxa"/>
            <w:vAlign w:val="center"/>
          </w:tcPr>
          <w:p>
            <w:pPr>
              <w:jc w:val="center"/>
              <w:rPr>
                <w:rFonts w:ascii="宋体"/>
                <w:szCs w:val="21"/>
              </w:rPr>
            </w:pPr>
            <w:r>
              <w:rPr>
                <w:rFonts w:hint="eastAsia" w:ascii="宋体" w:hAnsi="宋体"/>
                <w:szCs w:val="21"/>
              </w:rPr>
              <w:t>投标是否有效</w:t>
            </w:r>
          </w:p>
        </w:tc>
        <w:tc>
          <w:tcPr>
            <w:tcW w:w="6265" w:type="dxa"/>
            <w:vAlign w:val="center"/>
          </w:tcPr>
          <w:p>
            <w:pPr>
              <w:rPr>
                <w:rFonts w:ascii="宋体"/>
                <w:szCs w:val="21"/>
              </w:rPr>
            </w:pPr>
            <w:r>
              <w:rPr>
                <w:rFonts w:hint="eastAsia" w:ascii="宋体" w:hAnsi="宋体"/>
                <w:szCs w:val="21"/>
              </w:rPr>
              <w:t>无谈判文件规定的其他投标无效情形</w:t>
            </w:r>
          </w:p>
        </w:tc>
      </w:tr>
      <w:bookmarkEnd w:id="308"/>
      <w:bookmarkEnd w:id="309"/>
    </w:tbl>
    <w:p>
      <w:pPr>
        <w:tabs>
          <w:tab w:val="left" w:pos="817"/>
          <w:tab w:val="left" w:pos="1634"/>
          <w:tab w:val="left" w:pos="4073"/>
        </w:tabs>
        <w:ind w:right="840"/>
        <w:rPr>
          <w:rFonts w:ascii="宋体"/>
        </w:rPr>
      </w:pPr>
    </w:p>
    <w:p>
      <w:pPr>
        <w:rPr>
          <w:rFonts w:ascii="宋体" w:hAnsi="宋体"/>
          <w:sz w:val="24"/>
        </w:rPr>
      </w:pPr>
      <w:bookmarkStart w:id="310" w:name="_Toc19784_WPSOffice_Level2"/>
      <w:bookmarkStart w:id="311" w:name="_Toc9044"/>
      <w:bookmarkStart w:id="312" w:name="_Toc468805876"/>
      <w:bookmarkStart w:id="313" w:name="_Toc11788_WPSOffice_Level3"/>
      <w:r>
        <w:rPr>
          <w:rFonts w:hint="eastAsia" w:ascii="宋体" w:hAnsi="宋体"/>
          <w:sz w:val="24"/>
        </w:rPr>
        <w:t xml:space="preserve">   </w:t>
      </w:r>
    </w:p>
    <w:p>
      <w:pPr>
        <w:rPr>
          <w:rFonts w:ascii="宋体" w:hAnsi="宋体"/>
          <w:sz w:val="24"/>
        </w:rPr>
      </w:pPr>
      <w:r>
        <w:rPr>
          <w:rFonts w:hint="eastAsia" w:ascii="宋体" w:hAnsi="宋体"/>
          <w:sz w:val="24"/>
        </w:rPr>
        <w:t xml:space="preserve"> </w:t>
      </w:r>
    </w:p>
    <w:p>
      <w:pPr>
        <w:rPr>
          <w:rFonts w:hint="eastAsia" w:ascii="宋体" w:hAnsi="宋体"/>
          <w:sz w:val="24"/>
        </w:rPr>
      </w:pPr>
    </w:p>
    <w:p>
      <w:pPr>
        <w:rPr>
          <w:rFonts w:ascii="宋体" w:hAnsi="宋体"/>
        </w:rPr>
      </w:pPr>
      <w:r>
        <w:rPr>
          <w:rFonts w:ascii="宋体" w:hAnsi="宋体"/>
          <w:sz w:val="24"/>
        </w:rPr>
        <w:t xml:space="preserve">1. </w:t>
      </w:r>
      <w:r>
        <w:rPr>
          <w:rFonts w:hint="eastAsia" w:ascii="宋体" w:hAnsi="宋体"/>
          <w:sz w:val="24"/>
        </w:rPr>
        <w:t>评审方法</w:t>
      </w:r>
      <w:bookmarkEnd w:id="310"/>
      <w:bookmarkEnd w:id="311"/>
      <w:bookmarkEnd w:id="312"/>
      <w:bookmarkEnd w:id="313"/>
    </w:p>
    <w:p>
      <w:pPr>
        <w:spacing w:line="460" w:lineRule="exact"/>
        <w:ind w:firstLine="480" w:firstLineChars="200"/>
        <w:rPr>
          <w:rFonts w:ascii="宋体" w:hAnsi="宋体"/>
          <w:sz w:val="24"/>
        </w:rPr>
      </w:pPr>
      <w:r>
        <w:rPr>
          <w:rFonts w:hint="eastAsia" w:ascii="宋体" w:hAnsi="宋体"/>
          <w:sz w:val="24"/>
        </w:rPr>
        <w:t>本次评审采用最低评标价法。谈判小组对通过资格审查、符合性审查的响应文件，从质量和服务均能满足谈判文件实质性响应要求的供应商中，按照最后报价由低到高的顺序推荐成交候选人。</w:t>
      </w:r>
    </w:p>
    <w:p>
      <w:pPr>
        <w:spacing w:line="460" w:lineRule="exact"/>
        <w:ind w:firstLine="480" w:firstLineChars="200"/>
        <w:rPr>
          <w:rFonts w:ascii="宋体" w:hAnsi="宋体"/>
          <w:sz w:val="24"/>
        </w:rPr>
      </w:pPr>
      <w:bookmarkStart w:id="314" w:name="_Toc468805877"/>
      <w:bookmarkStart w:id="315" w:name="_Toc29700_WPSOffice_Level3"/>
      <w:bookmarkStart w:id="316" w:name="_Toc14379"/>
      <w:bookmarkStart w:id="317" w:name="_Toc27224_WPSOffice_Level2"/>
      <w:r>
        <w:rPr>
          <w:rFonts w:ascii="宋体" w:hAnsi="宋体"/>
          <w:sz w:val="24"/>
        </w:rPr>
        <w:t xml:space="preserve">2. </w:t>
      </w:r>
      <w:r>
        <w:rPr>
          <w:rFonts w:hint="eastAsia" w:ascii="宋体" w:hAnsi="宋体"/>
          <w:sz w:val="24"/>
        </w:rPr>
        <w:t>评审标准</w:t>
      </w:r>
      <w:bookmarkEnd w:id="314"/>
      <w:bookmarkEnd w:id="315"/>
      <w:bookmarkEnd w:id="316"/>
      <w:bookmarkEnd w:id="317"/>
    </w:p>
    <w:p>
      <w:pPr>
        <w:spacing w:line="460" w:lineRule="exact"/>
        <w:ind w:firstLine="420" w:firstLineChars="200"/>
        <w:rPr>
          <w:rFonts w:ascii="宋体" w:hAnsi="宋体"/>
          <w:sz w:val="24"/>
        </w:rPr>
      </w:pPr>
      <w:r>
        <w:rPr>
          <w:rFonts w:hint="eastAsia" w:ascii="宋体" w:hAnsi="宋体"/>
        </w:rPr>
        <w:t xml:space="preserve">  </w:t>
      </w:r>
      <w:r>
        <w:rPr>
          <w:rFonts w:ascii="宋体" w:hAnsi="宋体"/>
          <w:sz w:val="24"/>
        </w:rPr>
        <w:t>2.1</w:t>
      </w:r>
      <w:r>
        <w:rPr>
          <w:rFonts w:hint="eastAsia" w:ascii="宋体" w:hAnsi="宋体"/>
          <w:sz w:val="24"/>
        </w:rPr>
        <w:t>资格审查标准</w:t>
      </w:r>
    </w:p>
    <w:p>
      <w:pPr>
        <w:spacing w:line="460" w:lineRule="exact"/>
        <w:ind w:firstLine="480" w:firstLineChars="200"/>
        <w:rPr>
          <w:rFonts w:ascii="宋体" w:hAnsi="宋体"/>
          <w:sz w:val="24"/>
        </w:rPr>
      </w:pPr>
      <w:r>
        <w:rPr>
          <w:rFonts w:hint="eastAsia" w:ascii="宋体" w:hAnsi="宋体"/>
          <w:sz w:val="24"/>
        </w:rPr>
        <w:t>资格审查标准：依据法律法规和谈判文件的规定，对响应文件中的资格条件以及证明文件、谈判保证金等进行审查，以确定供应商是否具备投标资格；见评审办法前附表。</w:t>
      </w:r>
    </w:p>
    <w:p>
      <w:pPr>
        <w:spacing w:line="460" w:lineRule="exact"/>
        <w:ind w:firstLine="480" w:firstLineChars="200"/>
        <w:rPr>
          <w:rFonts w:ascii="宋体" w:hAnsi="宋体"/>
          <w:sz w:val="24"/>
        </w:rPr>
      </w:pPr>
      <w:bookmarkStart w:id="318" w:name="_Toc25712_WPSOffice_Level3"/>
      <w:r>
        <w:rPr>
          <w:rFonts w:hint="eastAsia" w:ascii="宋体" w:hAnsi="宋体"/>
          <w:sz w:val="24"/>
        </w:rPr>
        <w:t>2.2符合性审查</w:t>
      </w:r>
      <w:bookmarkEnd w:id="318"/>
    </w:p>
    <w:p>
      <w:pPr>
        <w:spacing w:line="460" w:lineRule="exact"/>
        <w:ind w:firstLine="480" w:firstLineChars="200"/>
        <w:rPr>
          <w:rFonts w:ascii="宋体" w:hAnsi="宋体"/>
          <w:sz w:val="24"/>
        </w:rPr>
      </w:pPr>
      <w:r>
        <w:rPr>
          <w:rFonts w:hint="eastAsia" w:ascii="宋体" w:hAnsi="宋体"/>
          <w:sz w:val="24"/>
        </w:rPr>
        <w:t>符合性审查标准：依据谈判文件的规定，对资格审查合格的响应文件从响应文件的有效性、完整性和对谈判文件的响应程度进行审查，以确定是否对谈判文件的实质性要求作出响应；见评审办法前附表。</w:t>
      </w:r>
    </w:p>
    <w:p>
      <w:pPr>
        <w:spacing w:line="460" w:lineRule="exact"/>
        <w:ind w:firstLine="480" w:firstLineChars="200"/>
        <w:rPr>
          <w:rFonts w:ascii="宋体" w:hAnsi="宋体"/>
          <w:sz w:val="24"/>
        </w:rPr>
      </w:pPr>
      <w:bookmarkStart w:id="319" w:name="_Toc468805880"/>
      <w:bookmarkStart w:id="320" w:name="_Toc10863"/>
      <w:bookmarkStart w:id="321" w:name="_Toc32004_WPSOffice_Level3"/>
      <w:bookmarkStart w:id="322" w:name="_Toc9155_WPSOffice_Level2"/>
      <w:r>
        <w:rPr>
          <w:rFonts w:ascii="宋体" w:hAnsi="宋体"/>
          <w:sz w:val="24"/>
        </w:rPr>
        <w:t xml:space="preserve">3. </w:t>
      </w:r>
      <w:r>
        <w:rPr>
          <w:rFonts w:hint="eastAsia" w:ascii="宋体" w:hAnsi="宋体"/>
          <w:sz w:val="24"/>
        </w:rPr>
        <w:t>评审程序</w:t>
      </w:r>
      <w:bookmarkEnd w:id="319"/>
      <w:bookmarkEnd w:id="320"/>
      <w:bookmarkEnd w:id="321"/>
      <w:bookmarkEnd w:id="322"/>
    </w:p>
    <w:p>
      <w:pPr>
        <w:pStyle w:val="13"/>
        <w:rPr>
          <w:rFonts w:ascii="宋体" w:hAnsi="宋体"/>
          <w:kern w:val="2"/>
        </w:rPr>
      </w:pPr>
      <w:r>
        <w:rPr>
          <w:rFonts w:hint="eastAsia"/>
        </w:rPr>
        <w:t xml:space="preserve">   </w:t>
      </w:r>
      <w:r>
        <w:rPr>
          <w:rFonts w:hint="eastAsia" w:ascii="宋体" w:hAnsi="宋体"/>
          <w:kern w:val="2"/>
        </w:rPr>
        <w:t xml:space="preserve"> 3.1资格审查</w:t>
      </w:r>
    </w:p>
    <w:p>
      <w:pPr>
        <w:spacing w:line="460" w:lineRule="exact"/>
        <w:ind w:firstLine="480" w:firstLineChars="200"/>
        <w:rPr>
          <w:rFonts w:ascii="宋体" w:hAnsi="宋体"/>
          <w:sz w:val="24"/>
        </w:rPr>
      </w:pPr>
      <w:r>
        <w:rPr>
          <w:rFonts w:hint="eastAsia" w:ascii="宋体" w:hAnsi="宋体"/>
          <w:sz w:val="24"/>
        </w:rPr>
        <w:t>谈判小组依据本章第1项规定的标准对响应文件进行资格审查。有一项不符合审查标准的，投标无效。</w:t>
      </w:r>
    </w:p>
    <w:p>
      <w:pPr>
        <w:spacing w:line="460" w:lineRule="exact"/>
        <w:ind w:firstLine="480" w:firstLineChars="200"/>
        <w:rPr>
          <w:rFonts w:ascii="宋体" w:hAnsi="宋体"/>
          <w:sz w:val="24"/>
        </w:rPr>
      </w:pPr>
      <w:r>
        <w:rPr>
          <w:rFonts w:hint="eastAsia" w:ascii="宋体" w:hAnsi="宋体"/>
          <w:sz w:val="24"/>
        </w:rPr>
        <w:t>注：合格供应商不足</w:t>
      </w:r>
      <w:r>
        <w:rPr>
          <w:rFonts w:ascii="宋体" w:hAnsi="宋体"/>
          <w:sz w:val="24"/>
        </w:rPr>
        <w:t>3</w:t>
      </w:r>
      <w:r>
        <w:rPr>
          <w:rFonts w:hint="eastAsia" w:ascii="宋体" w:hAnsi="宋体"/>
          <w:sz w:val="24"/>
        </w:rPr>
        <w:t>家的，不再进入评审程序，作废标处理。</w:t>
      </w:r>
    </w:p>
    <w:p>
      <w:pPr>
        <w:spacing w:line="460" w:lineRule="exact"/>
        <w:ind w:firstLine="480" w:firstLineChars="200"/>
        <w:rPr>
          <w:rFonts w:ascii="宋体" w:hAnsi="宋体"/>
          <w:sz w:val="24"/>
        </w:rPr>
      </w:pPr>
      <w:bookmarkStart w:id="323" w:name="_Toc10065_WPSOffice_Level3"/>
      <w:r>
        <w:rPr>
          <w:rFonts w:ascii="宋体" w:hAnsi="宋体"/>
          <w:sz w:val="24"/>
        </w:rPr>
        <w:t>3.</w:t>
      </w:r>
      <w:r>
        <w:rPr>
          <w:rFonts w:hint="eastAsia" w:ascii="宋体" w:hAnsi="宋体"/>
          <w:sz w:val="24"/>
        </w:rPr>
        <w:t>2</w:t>
      </w:r>
      <w:r>
        <w:rPr>
          <w:rFonts w:ascii="宋体" w:hAnsi="宋体"/>
          <w:sz w:val="24"/>
        </w:rPr>
        <w:t xml:space="preserve"> </w:t>
      </w:r>
      <w:r>
        <w:rPr>
          <w:rFonts w:hint="eastAsia" w:ascii="宋体" w:hAnsi="宋体"/>
          <w:sz w:val="24"/>
        </w:rPr>
        <w:t>符合性审查</w:t>
      </w:r>
      <w:bookmarkEnd w:id="323"/>
    </w:p>
    <w:p>
      <w:pPr>
        <w:spacing w:line="460" w:lineRule="exact"/>
        <w:ind w:firstLine="480" w:firstLineChars="200"/>
        <w:rPr>
          <w:rFonts w:ascii="宋体" w:hAnsi="宋体"/>
          <w:sz w:val="24"/>
        </w:rPr>
      </w:pPr>
      <w:r>
        <w:rPr>
          <w:rFonts w:hint="eastAsia" w:ascii="宋体" w:hAnsi="宋体"/>
          <w:sz w:val="24"/>
        </w:rPr>
        <w:t>谈判小组依据本章第</w:t>
      </w:r>
      <w:r>
        <w:rPr>
          <w:rFonts w:ascii="宋体" w:hAnsi="宋体"/>
          <w:sz w:val="24"/>
        </w:rPr>
        <w:t>2</w:t>
      </w:r>
      <w:r>
        <w:rPr>
          <w:rFonts w:hint="eastAsia" w:ascii="宋体" w:hAnsi="宋体"/>
          <w:sz w:val="24"/>
        </w:rPr>
        <w:t>项规定的标准对资格审查合格的响应文件进行符合性审查。有一项不符合评审标准的，投标无效。</w:t>
      </w:r>
    </w:p>
    <w:p>
      <w:pPr>
        <w:spacing w:line="460" w:lineRule="exact"/>
        <w:ind w:firstLine="480" w:firstLineChars="200"/>
        <w:rPr>
          <w:rFonts w:ascii="宋体" w:hAnsi="宋体"/>
          <w:sz w:val="24"/>
        </w:rPr>
      </w:pPr>
      <w:r>
        <w:rPr>
          <w:rFonts w:hint="eastAsia" w:ascii="宋体" w:hAnsi="宋体"/>
          <w:sz w:val="24"/>
        </w:rPr>
        <w:t>提供相同品牌产品（核心产品）且通过资格审查、符合性审查的不同供应商参加同一合同项下投标的，按一家供应商计算；报价相同的，按照最有利于采购人利益的原则，由谈判小组综合评定后确定一个供应商获得成交候选人推荐资格，其他同品牌供应商不作为成交候选人。</w:t>
      </w:r>
    </w:p>
    <w:p>
      <w:pPr>
        <w:spacing w:line="460" w:lineRule="exact"/>
        <w:rPr>
          <w:rFonts w:ascii="宋体" w:hAnsi="宋体"/>
          <w:sz w:val="24"/>
        </w:rPr>
      </w:pPr>
      <w:bookmarkStart w:id="324" w:name="_Toc468805883"/>
      <w:r>
        <w:rPr>
          <w:rFonts w:hint="eastAsia" w:ascii="宋体" w:hAnsi="宋体"/>
          <w:sz w:val="24"/>
        </w:rPr>
        <w:t xml:space="preserve">    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投标处理。</w:t>
      </w:r>
    </w:p>
    <w:p>
      <w:pPr>
        <w:spacing w:line="460" w:lineRule="exact"/>
        <w:ind w:firstLine="480" w:firstLineChars="200"/>
        <w:rPr>
          <w:rFonts w:ascii="宋体" w:hAnsi="宋体"/>
          <w:sz w:val="24"/>
        </w:rPr>
      </w:pPr>
      <w:bookmarkStart w:id="325" w:name="_Toc19784_WPSOffice_Level3"/>
      <w:r>
        <w:rPr>
          <w:rFonts w:ascii="宋体" w:hAnsi="宋体"/>
          <w:sz w:val="24"/>
        </w:rPr>
        <w:t>3.</w:t>
      </w:r>
      <w:r>
        <w:rPr>
          <w:rFonts w:hint="eastAsia" w:ascii="宋体" w:hAnsi="宋体"/>
          <w:sz w:val="24"/>
        </w:rPr>
        <w:t>3响应文件的澄清原则：</w:t>
      </w:r>
      <w:bookmarkEnd w:id="324"/>
      <w:bookmarkEnd w:id="325"/>
    </w:p>
    <w:p>
      <w:pPr>
        <w:spacing w:line="460" w:lineRule="exact"/>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r>
        <w:rPr>
          <w:rFonts w:hint="eastAsia" w:ascii="宋体" w:hAnsi="宋体"/>
          <w:sz w:val="24"/>
        </w:rPr>
        <w:t>在评审过程中，谈判小组可以书面形式（应当由谈判小组专家签字）要求供应商对所提交的响应文件中含义不明确、同类问题表述不一致或者有明显文字和计算错误的内容，进行澄清、说明或者补正。谈判小组不接受供应商主动提出的澄清、说明或补正。</w:t>
      </w:r>
    </w:p>
    <w:p>
      <w:pPr>
        <w:spacing w:line="460" w:lineRule="exact"/>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.2 </w:t>
      </w:r>
      <w:r>
        <w:rPr>
          <w:rFonts w:hint="eastAsia" w:ascii="宋体" w:hAnsi="宋体"/>
          <w:sz w:val="24"/>
        </w:rPr>
        <w:t>供应商的澄清、说明和补正应当采用书面形式，并加盖公章，或者由法定代表人或其授权的代表签字。供应商的澄清、说明或者补正不得超出响应文件的范围或者改变响应文件的实质性内容。供应商的书面澄清、说明和补正属于响应文件的组成部分。</w:t>
      </w:r>
    </w:p>
    <w:p>
      <w:pPr>
        <w:spacing w:line="460" w:lineRule="exact"/>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.3 </w:t>
      </w:r>
      <w:r>
        <w:rPr>
          <w:rFonts w:hint="eastAsia" w:ascii="宋体" w:hAnsi="宋体"/>
          <w:sz w:val="24"/>
        </w:rPr>
        <w:t>谈判小组对供应商提交的澄清、说明或补正有疑问的，可以要求供应商进一步澄清、说明或补正，直至满足谈判小组的要求。</w:t>
      </w:r>
    </w:p>
    <w:p>
      <w:pPr>
        <w:spacing w:line="460" w:lineRule="exact"/>
        <w:ind w:firstLine="480" w:firstLineChars="200"/>
        <w:rPr>
          <w:rFonts w:ascii="宋体" w:hAnsi="宋体"/>
          <w:sz w:val="24"/>
        </w:rPr>
      </w:pPr>
      <w:bookmarkStart w:id="326" w:name="_Toc27224_WPSOffice_Level3"/>
      <w:r>
        <w:rPr>
          <w:rFonts w:ascii="宋体" w:hAnsi="宋体"/>
          <w:sz w:val="24"/>
        </w:rPr>
        <w:t>3.</w:t>
      </w:r>
      <w:r>
        <w:rPr>
          <w:rFonts w:hint="eastAsia" w:ascii="宋体" w:hAnsi="宋体"/>
          <w:sz w:val="24"/>
        </w:rPr>
        <w:t>4</w:t>
      </w:r>
      <w:r>
        <w:rPr>
          <w:rFonts w:ascii="宋体" w:hAnsi="宋体"/>
          <w:sz w:val="24"/>
        </w:rPr>
        <w:t xml:space="preserve"> </w:t>
      </w:r>
      <w:r>
        <w:rPr>
          <w:rFonts w:hint="eastAsia" w:ascii="宋体" w:hAnsi="宋体"/>
          <w:sz w:val="24"/>
        </w:rPr>
        <w:t>供应商有以下情形之一的，其投标无效：</w:t>
      </w:r>
      <w:bookmarkEnd w:id="326"/>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）串通投标或弄虚作假或有其他违法行为的；</w:t>
      </w:r>
    </w:p>
    <w:p>
      <w:pPr>
        <w:spacing w:line="46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）不按谈判小组要求澄清、说明或补正的。</w:t>
      </w:r>
    </w:p>
    <w:p>
      <w:pPr>
        <w:spacing w:line="460" w:lineRule="exact"/>
        <w:ind w:firstLine="480" w:firstLineChars="200"/>
        <w:rPr>
          <w:rFonts w:ascii="宋体" w:hAnsi="宋体"/>
          <w:sz w:val="24"/>
        </w:rPr>
      </w:pPr>
      <w:bookmarkStart w:id="327" w:name="_Toc9155_WPSOffice_Level3"/>
      <w:bookmarkStart w:id="328" w:name="_Toc468805884"/>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评审结果</w:t>
      </w:r>
      <w:bookmarkEnd w:id="327"/>
      <w:bookmarkEnd w:id="328"/>
    </w:p>
    <w:p>
      <w:pPr>
        <w:spacing w:line="460" w:lineRule="exact"/>
        <w:ind w:firstLine="480" w:firstLineChars="200"/>
        <w:rPr>
          <w:rFonts w:ascii="宋体" w:hAnsi="宋体"/>
          <w:sz w:val="24"/>
        </w:rPr>
      </w:pPr>
      <w:r>
        <w:rPr>
          <w:rFonts w:ascii="宋体" w:hAnsi="宋体"/>
          <w:sz w:val="24"/>
        </w:rPr>
        <w:t>3.5.1</w:t>
      </w:r>
      <w:r>
        <w:rPr>
          <w:rFonts w:hint="eastAsia" w:ascii="宋体" w:hAnsi="宋体"/>
          <w:sz w:val="24"/>
        </w:rPr>
        <w:t>谈判小组对通过资格审查、符合性审查的响应文件，从质量和服务均能满足谈判文件实质性响应要求的供应商中，按照最后报价由低到高的顺序推荐1-3名成交候选人，</w:t>
      </w:r>
    </w:p>
    <w:p>
      <w:pPr>
        <w:spacing w:line="460" w:lineRule="exact"/>
        <w:rPr>
          <w:rFonts w:ascii="宋体" w:hAnsi="宋体"/>
          <w:sz w:val="24"/>
        </w:rPr>
      </w:pPr>
      <w:r>
        <w:rPr>
          <w:rFonts w:hint="eastAsia" w:ascii="宋体" w:hAnsi="宋体"/>
          <w:sz w:val="24"/>
        </w:rPr>
        <w:t>并提出书面评审报告。</w:t>
      </w:r>
    </w:p>
    <w:p>
      <w:pPr>
        <w:spacing w:line="460" w:lineRule="exact"/>
        <w:ind w:firstLine="480" w:firstLineChars="200"/>
        <w:rPr>
          <w:rFonts w:ascii="宋体" w:hAnsi="宋体"/>
          <w:sz w:val="24"/>
        </w:rPr>
      </w:pPr>
      <w:r>
        <w:rPr>
          <w:rFonts w:ascii="宋体" w:hAnsi="宋体"/>
          <w:sz w:val="24"/>
        </w:rPr>
        <w:t xml:space="preserve">3.5.2 </w:t>
      </w:r>
      <w:r>
        <w:rPr>
          <w:rFonts w:hint="eastAsia" w:ascii="宋体" w:hAnsi="宋体"/>
          <w:sz w:val="24"/>
        </w:rPr>
        <w:t>采购人根据谈判小组提出的书面评审报告和推荐的成交候选人名单，确定成交供应商。</w:t>
      </w:r>
    </w:p>
    <w:p>
      <w:pPr>
        <w:pStyle w:val="3"/>
        <w:ind w:left="0" w:firstLine="0"/>
        <w:jc w:val="center"/>
        <w:rPr>
          <w:rFonts w:ascii="黑体" w:hAnsi="黑体"/>
          <w:bCs w:val="0"/>
          <w:sz w:val="32"/>
        </w:rPr>
      </w:pPr>
      <w:bookmarkStart w:id="329" w:name="_Toc59718140"/>
      <w:bookmarkStart w:id="330" w:name="_Toc9761_WPSOffice_Level1"/>
      <w:bookmarkStart w:id="331" w:name="_Toc60996703"/>
      <w:bookmarkStart w:id="332" w:name="_Toc26723_WPSOffice_Level2"/>
      <w:bookmarkStart w:id="333" w:name="_Toc57104298"/>
      <w:bookmarkStart w:id="334" w:name="_第八章_政府采购供应商质疑函范本"/>
    </w:p>
    <w:p>
      <w:pPr>
        <w:pStyle w:val="3"/>
        <w:ind w:left="0" w:firstLine="0"/>
        <w:jc w:val="center"/>
        <w:rPr>
          <w:rFonts w:ascii="黑体" w:hAnsi="黑体"/>
          <w:bCs w:val="0"/>
          <w:sz w:val="32"/>
        </w:rPr>
      </w:pPr>
    </w:p>
    <w:p>
      <w:pPr>
        <w:pStyle w:val="3"/>
        <w:ind w:left="0" w:firstLine="0"/>
        <w:jc w:val="center"/>
        <w:rPr>
          <w:rFonts w:ascii="黑体" w:hAnsi="黑体"/>
          <w:bCs w:val="0"/>
          <w:sz w:val="32"/>
        </w:rPr>
      </w:pPr>
    </w:p>
    <w:p>
      <w:pPr>
        <w:pStyle w:val="3"/>
        <w:ind w:left="0" w:firstLine="0"/>
        <w:jc w:val="center"/>
        <w:rPr>
          <w:rFonts w:ascii="黑体" w:hAnsi="黑体"/>
          <w:bCs w:val="0"/>
          <w:sz w:val="32"/>
        </w:rPr>
      </w:pPr>
    </w:p>
    <w:p>
      <w:pPr>
        <w:pStyle w:val="3"/>
        <w:ind w:left="0" w:firstLine="0"/>
        <w:jc w:val="center"/>
        <w:rPr>
          <w:rFonts w:ascii="黑体" w:hAnsi="黑体"/>
          <w:bCs w:val="0"/>
          <w:sz w:val="32"/>
        </w:rPr>
      </w:pPr>
    </w:p>
    <w:p/>
    <w:p>
      <w:pPr>
        <w:pStyle w:val="13"/>
      </w:pPr>
    </w:p>
    <w:p>
      <w:pPr>
        <w:pStyle w:val="3"/>
        <w:ind w:left="0" w:firstLine="0"/>
        <w:jc w:val="center"/>
        <w:rPr>
          <w:rFonts w:ascii="黑体"/>
          <w:sz w:val="32"/>
          <w:szCs w:val="32"/>
        </w:rPr>
      </w:pPr>
    </w:p>
    <w:p>
      <w:pPr>
        <w:rPr>
          <w:rFonts w:ascii="黑体"/>
          <w:sz w:val="32"/>
          <w:szCs w:val="32"/>
        </w:rPr>
      </w:pPr>
    </w:p>
    <w:p>
      <w:pPr>
        <w:pStyle w:val="2"/>
        <w:rPr>
          <w:rFonts w:ascii="黑体"/>
          <w:sz w:val="32"/>
          <w:szCs w:val="32"/>
        </w:rPr>
      </w:pPr>
    </w:p>
    <w:p>
      <w:pPr>
        <w:pStyle w:val="2"/>
        <w:rPr>
          <w:rFonts w:ascii="黑体"/>
          <w:sz w:val="32"/>
          <w:szCs w:val="32"/>
        </w:rPr>
      </w:pPr>
    </w:p>
    <w:p>
      <w:pPr>
        <w:pStyle w:val="3"/>
        <w:ind w:left="0" w:firstLine="0"/>
        <w:jc w:val="center"/>
        <w:rPr>
          <w:rFonts w:ascii="黑体"/>
          <w:sz w:val="32"/>
          <w:szCs w:val="32"/>
        </w:rPr>
      </w:pPr>
    </w:p>
    <w:p>
      <w:pPr>
        <w:pStyle w:val="3"/>
        <w:ind w:left="0" w:firstLine="0"/>
        <w:jc w:val="center"/>
        <w:rPr>
          <w:rFonts w:ascii="黑体"/>
          <w:sz w:val="32"/>
          <w:szCs w:val="32"/>
        </w:rPr>
      </w:pPr>
    </w:p>
    <w:p>
      <w:pPr>
        <w:pStyle w:val="3"/>
        <w:ind w:left="0" w:firstLine="0"/>
        <w:jc w:val="center"/>
        <w:rPr>
          <w:rFonts w:ascii="黑体"/>
          <w:sz w:val="32"/>
          <w:szCs w:val="32"/>
        </w:rPr>
      </w:pPr>
      <w:bookmarkStart w:id="335" w:name="_Toc84455604"/>
      <w:r>
        <w:rPr>
          <w:rFonts w:hint="eastAsia" w:ascii="黑体"/>
          <w:sz w:val="32"/>
          <w:szCs w:val="32"/>
        </w:rPr>
        <w:t>第七章 供应商质疑函范本</w:t>
      </w:r>
      <w:bookmarkEnd w:id="329"/>
      <w:bookmarkEnd w:id="330"/>
      <w:bookmarkEnd w:id="331"/>
      <w:bookmarkEnd w:id="332"/>
      <w:bookmarkEnd w:id="333"/>
      <w:bookmarkEnd w:id="335"/>
    </w:p>
    <w:bookmarkEnd w:id="334"/>
    <w:p>
      <w:pPr>
        <w:ind w:left="1"/>
        <w:jc w:val="center"/>
        <w:rPr>
          <w:rFonts w:ascii="黑体" w:hAnsi="黑体" w:eastAsia="黑体"/>
        </w:rPr>
      </w:pPr>
    </w:p>
    <w:p>
      <w:pPr>
        <w:ind w:left="1"/>
        <w:jc w:val="center"/>
        <w:rPr>
          <w:rFonts w:ascii="黑体" w:hAnsi="黑体" w:eastAsia="黑体"/>
          <w:sz w:val="32"/>
          <w:szCs w:val="32"/>
        </w:rPr>
      </w:pPr>
      <w:bookmarkStart w:id="336" w:name="_Toc30986_WPSOffice_Level1"/>
      <w:bookmarkStart w:id="337" w:name="_Toc29121_WPSOffice_Level1"/>
      <w:r>
        <w:rPr>
          <w:rFonts w:hint="eastAsia" w:ascii="黑体" w:hAnsi="黑体" w:eastAsia="黑体"/>
          <w:sz w:val="32"/>
          <w:szCs w:val="32"/>
        </w:rPr>
        <w:t>质疑函</w:t>
      </w:r>
      <w:bookmarkEnd w:id="336"/>
      <w:bookmarkEnd w:id="337"/>
    </w:p>
    <w:p>
      <w:pPr>
        <w:spacing w:line="360" w:lineRule="auto"/>
        <w:ind w:firstLine="482" w:firstLineChars="200"/>
        <w:rPr>
          <w:rFonts w:asciiTheme="minorEastAsia" w:hAnsiTheme="minorEastAsia" w:eastAsiaTheme="minorEastAsia"/>
          <w:b/>
          <w:sz w:val="24"/>
        </w:rPr>
      </w:pPr>
      <w:bookmarkStart w:id="338" w:name="_Toc1695_WPSOffice_Level2"/>
      <w:bookmarkStart w:id="339" w:name="_Toc29695_WPSOffice_Level1"/>
      <w:r>
        <w:rPr>
          <w:rFonts w:hint="eastAsia" w:asciiTheme="minorEastAsia" w:hAnsiTheme="minorEastAsia" w:eastAsiaTheme="minorEastAsia"/>
          <w:b/>
          <w:sz w:val="24"/>
        </w:rPr>
        <w:t>一、质疑供应商基本信息</w:t>
      </w:r>
      <w:bookmarkEnd w:id="338"/>
      <w:bookmarkEnd w:id="339"/>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质疑供应商：------------，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地址：--------------，邮编：------------，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联系人：-------------，联系电话：-------------，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授权代表：------------，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联系电话：------------，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地址：------------，邮编：------------。</w:t>
      </w:r>
    </w:p>
    <w:p>
      <w:pPr>
        <w:spacing w:line="360" w:lineRule="auto"/>
        <w:ind w:firstLine="482" w:firstLineChars="200"/>
        <w:rPr>
          <w:rFonts w:asciiTheme="minorEastAsia" w:hAnsiTheme="minorEastAsia" w:eastAsiaTheme="minorEastAsia"/>
          <w:b/>
          <w:sz w:val="24"/>
        </w:rPr>
      </w:pPr>
      <w:bookmarkStart w:id="340" w:name="_Toc11746_WPSOffice_Level2"/>
      <w:bookmarkStart w:id="341" w:name="_Toc17522_WPSOffice_Level1"/>
      <w:r>
        <w:rPr>
          <w:rFonts w:hint="eastAsia" w:asciiTheme="minorEastAsia" w:hAnsiTheme="minorEastAsia" w:eastAsiaTheme="minorEastAsia"/>
          <w:b/>
          <w:sz w:val="24"/>
        </w:rPr>
        <w:t>二、质疑项目基本情况</w:t>
      </w:r>
      <w:bookmarkEnd w:id="340"/>
      <w:bookmarkEnd w:id="34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质疑项目的名称：-------------，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质疑项目的编号：-------------，包号：-----------，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采购人名称：--------------，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采购文件获取日期：-------------。</w:t>
      </w:r>
    </w:p>
    <w:p>
      <w:pPr>
        <w:spacing w:line="360" w:lineRule="auto"/>
        <w:ind w:firstLine="482" w:firstLineChars="200"/>
        <w:rPr>
          <w:rFonts w:asciiTheme="minorEastAsia" w:hAnsiTheme="minorEastAsia" w:eastAsiaTheme="minorEastAsia"/>
          <w:b/>
          <w:sz w:val="24"/>
        </w:rPr>
      </w:pPr>
      <w:bookmarkStart w:id="342" w:name="_Toc4354_WPSOffice_Level2"/>
      <w:bookmarkStart w:id="343" w:name="_Toc32340_WPSOffice_Level1"/>
      <w:r>
        <w:rPr>
          <w:rFonts w:hint="eastAsia" w:asciiTheme="minorEastAsia" w:hAnsiTheme="minorEastAsia" w:eastAsiaTheme="minorEastAsia"/>
          <w:b/>
          <w:sz w:val="24"/>
        </w:rPr>
        <w:t>三、质疑事项具体内容</w:t>
      </w:r>
      <w:bookmarkEnd w:id="342"/>
      <w:bookmarkEnd w:id="343"/>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质疑事项1：----------。</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事实依据：-----------，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法律依据：--------------，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质疑事项2：----------。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b/>
          <w:sz w:val="24"/>
        </w:rPr>
      </w:pPr>
      <w:bookmarkStart w:id="344" w:name="_Toc17302_WPSOffice_Level2"/>
      <w:bookmarkStart w:id="345" w:name="_Toc16751_WPSOffice_Level1"/>
      <w:r>
        <w:rPr>
          <w:rFonts w:hint="eastAsia" w:asciiTheme="minorEastAsia" w:hAnsiTheme="minorEastAsia" w:eastAsiaTheme="minorEastAsia"/>
          <w:b/>
          <w:sz w:val="24"/>
        </w:rPr>
        <w:t>四、与质疑事项相关的质疑请求</w:t>
      </w:r>
      <w:bookmarkEnd w:id="344"/>
      <w:bookmarkEnd w:id="345"/>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请求：------------，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签字(签章)：                   公章：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日期：    </w:t>
      </w:r>
    </w:p>
    <w:p>
      <w:pPr>
        <w:spacing w:line="360" w:lineRule="auto"/>
        <w:ind w:firstLine="480" w:firstLineChars="200"/>
        <w:rPr>
          <w:rFonts w:asciiTheme="minorEastAsia" w:hAnsiTheme="minorEastAsia" w:eastAsiaTheme="minorEastAsia"/>
          <w:sz w:val="24"/>
        </w:rPr>
      </w:pPr>
    </w:p>
    <w:p>
      <w:pPr>
        <w:pStyle w:val="10"/>
      </w:pPr>
    </w:p>
    <w:p>
      <w:pPr>
        <w:pStyle w:val="178"/>
        <w:ind w:firstLine="480"/>
        <w:rPr>
          <w:rFonts w:asciiTheme="minorEastAsia" w:hAnsiTheme="minorEastAsia" w:eastAsiaTheme="minorEastAsia"/>
        </w:rPr>
      </w:pPr>
      <w:r>
        <w:rPr>
          <w:rFonts w:hint="eastAsia" w:asciiTheme="minorEastAsia" w:hAnsiTheme="minorEastAsia" w:eastAsiaTheme="minorEastAsia"/>
        </w:rPr>
        <w:t>质疑函制作说明：</w:t>
      </w:r>
    </w:p>
    <w:p>
      <w:pPr>
        <w:pStyle w:val="178"/>
        <w:ind w:firstLine="480"/>
        <w:rPr>
          <w:rFonts w:asciiTheme="minorEastAsia" w:hAnsiTheme="minorEastAsia" w:eastAsiaTheme="minorEastAsia"/>
        </w:rPr>
      </w:pPr>
      <w:r>
        <w:rPr>
          <w:rFonts w:hint="eastAsia" w:asciiTheme="minorEastAsia" w:hAnsiTheme="minorEastAsia" w:eastAsiaTheme="minorEastAsia"/>
        </w:rPr>
        <w:t>1.供应商提出质疑时，应提交质疑函和必要的证明材料。</w:t>
      </w:r>
    </w:p>
    <w:p>
      <w:pPr>
        <w:pStyle w:val="178"/>
        <w:ind w:firstLine="480"/>
        <w:rPr>
          <w:rFonts w:asciiTheme="minorEastAsia" w:hAnsiTheme="minorEastAsia" w:eastAsiaTheme="minorEastAsia"/>
        </w:rPr>
      </w:pPr>
      <w:r>
        <w:rPr>
          <w:rFonts w:hint="eastAsia" w:asciiTheme="minorEastAsia" w:hAnsiTheme="minorEastAsia" w:eastAsiaTheme="minor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8"/>
        <w:ind w:firstLine="480"/>
        <w:rPr>
          <w:rFonts w:asciiTheme="minorEastAsia" w:hAnsiTheme="minorEastAsia" w:eastAsiaTheme="minorEastAsia"/>
        </w:rPr>
      </w:pPr>
      <w:r>
        <w:rPr>
          <w:rFonts w:hint="eastAsia" w:asciiTheme="minorEastAsia" w:hAnsiTheme="minorEastAsia" w:eastAsiaTheme="minorEastAsia"/>
        </w:rPr>
        <w:t>3.质疑供应商若对项目的某一分包进行质疑，质疑函中应列明具体分包号。</w:t>
      </w:r>
    </w:p>
    <w:p>
      <w:pPr>
        <w:pStyle w:val="178"/>
        <w:ind w:firstLine="480"/>
        <w:rPr>
          <w:rFonts w:asciiTheme="minorEastAsia" w:hAnsiTheme="minorEastAsia" w:eastAsiaTheme="minorEastAsia"/>
        </w:rPr>
      </w:pPr>
      <w:r>
        <w:rPr>
          <w:rFonts w:hint="eastAsia" w:asciiTheme="minorEastAsia" w:hAnsiTheme="minorEastAsia" w:eastAsiaTheme="minorEastAsia"/>
        </w:rPr>
        <w:t>4.质疑函的质疑事项应具体、明确，并有必要的事实依据和法律依据。</w:t>
      </w:r>
    </w:p>
    <w:p>
      <w:pPr>
        <w:pStyle w:val="178"/>
        <w:ind w:firstLine="480"/>
        <w:rPr>
          <w:rFonts w:asciiTheme="minorEastAsia" w:hAnsiTheme="minorEastAsia" w:eastAsiaTheme="minorEastAsia"/>
        </w:rPr>
      </w:pPr>
      <w:r>
        <w:rPr>
          <w:rFonts w:hint="eastAsia" w:asciiTheme="minorEastAsia" w:hAnsiTheme="minorEastAsia" w:eastAsiaTheme="minorEastAsia"/>
        </w:rPr>
        <w:t>5.质疑函的质疑请求应与质疑事项相关。</w:t>
      </w:r>
    </w:p>
    <w:p>
      <w:pPr>
        <w:pStyle w:val="178"/>
        <w:ind w:firstLine="480"/>
        <w:rPr>
          <w:rFonts w:asciiTheme="minorEastAsia" w:hAnsiTheme="minorEastAsia" w:eastAsiaTheme="minorEastAsia"/>
        </w:rPr>
      </w:pPr>
      <w:r>
        <w:rPr>
          <w:rFonts w:hint="eastAsia" w:asciiTheme="minorEastAsia" w:hAnsiTheme="minorEastAsia" w:eastAsiaTheme="minorEastAsia"/>
        </w:rPr>
        <w:t>6.质疑供应商为自然人的，质疑函应由本人签字；质疑供应商为法人或者其他组织的，质疑函应由法定代表人、主要负责人，或者其授权代表签字或者盖章，并加盖公章</w:t>
      </w:r>
      <w:r>
        <w:rPr>
          <w:rFonts w:asciiTheme="minorEastAsia" w:hAnsiTheme="minorEastAsia" w:eastAsiaTheme="minorEastAsia"/>
        </w:rPr>
        <w:t>。</w:t>
      </w: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480"/>
        <w:rPr>
          <w:rFonts w:asciiTheme="minorEastAsia" w:hAnsiTheme="minorEastAsia" w:eastAsiaTheme="minorEastAsia"/>
        </w:rPr>
      </w:pPr>
    </w:p>
    <w:p>
      <w:pPr>
        <w:pStyle w:val="178"/>
        <w:ind w:firstLine="720"/>
        <w:rPr>
          <w:rFonts w:ascii="宋体" w:hAnsi="宋体"/>
          <w:sz w:val="36"/>
          <w:szCs w:val="36"/>
        </w:rPr>
      </w:pPr>
      <w:bookmarkStart w:id="346" w:name="_Toc69989551"/>
      <w:r>
        <w:rPr>
          <w:rFonts w:hint="eastAsia" w:ascii="宋体" w:hAnsi="宋体"/>
          <w:sz w:val="36"/>
          <w:szCs w:val="36"/>
        </w:rPr>
        <w:t>附页</w:t>
      </w:r>
      <w:bookmarkEnd w:id="346"/>
    </w:p>
    <w:p>
      <w:pPr>
        <w:pStyle w:val="2"/>
        <w:rPr>
          <w:rFonts w:hAnsi="宋体"/>
          <w:b/>
          <w:color w:val="auto"/>
        </w:rPr>
      </w:pPr>
      <w:r>
        <w:rPr>
          <w:rFonts w:hint="eastAsia" w:hAnsi="宋体"/>
          <w:b/>
          <w:color w:val="auto"/>
        </w:rPr>
        <w:t>注：此表不需装入申请文件中，请自备1-2份签字、盖章后带到谈判现场备用。</w:t>
      </w:r>
    </w:p>
    <w:p>
      <w:pPr>
        <w:pStyle w:val="4"/>
        <w:spacing w:after="120" w:line="480" w:lineRule="exact"/>
        <w:jc w:val="center"/>
        <w:rPr>
          <w:rFonts w:ascii="宋体" w:hAnsi="宋体"/>
          <w:sz w:val="36"/>
          <w:szCs w:val="36"/>
        </w:rPr>
      </w:pPr>
      <w:bookmarkStart w:id="347" w:name="_Toc69989552"/>
      <w:bookmarkStart w:id="348" w:name="_Toc84455605"/>
      <w:r>
        <w:rPr>
          <w:rFonts w:hint="eastAsia" w:ascii="宋体" w:hAnsi="宋体"/>
          <w:sz w:val="36"/>
          <w:szCs w:val="36"/>
        </w:rPr>
        <w:t>二次报价表（最终报价）</w:t>
      </w:r>
      <w:bookmarkEnd w:id="347"/>
      <w:bookmarkEnd w:id="348"/>
    </w:p>
    <w:p>
      <w:pPr>
        <w:spacing w:line="360" w:lineRule="auto"/>
        <w:jc w:val="center"/>
        <w:rPr>
          <w:rFonts w:ascii="宋体"/>
          <w:b/>
          <w:bCs/>
          <w:sz w:val="28"/>
          <w:szCs w:val="28"/>
        </w:rPr>
      </w:pPr>
    </w:p>
    <w:p>
      <w:pPr>
        <w:spacing w:line="400" w:lineRule="exact"/>
        <w:rPr>
          <w:rFonts w:ascii="宋体"/>
          <w:sz w:val="24"/>
        </w:rPr>
      </w:pPr>
    </w:p>
    <w:p>
      <w:pPr>
        <w:spacing w:line="400" w:lineRule="exact"/>
        <w:rPr>
          <w:rFonts w:ascii="宋体"/>
          <w:szCs w:val="21"/>
          <w:u w:val="single"/>
        </w:rPr>
      </w:pPr>
      <w:r>
        <w:rPr>
          <w:rFonts w:hint="eastAsia" w:ascii="宋体"/>
          <w:szCs w:val="21"/>
        </w:rPr>
        <w:t>项目名称：</w:t>
      </w:r>
      <w:r>
        <w:rPr>
          <w:rFonts w:hint="eastAsia" w:ascii="宋体"/>
          <w:szCs w:val="21"/>
          <w:u w:val="single"/>
        </w:rPr>
        <w:t xml:space="preserve">            </w:t>
      </w:r>
      <w:r>
        <w:rPr>
          <w:rFonts w:hint="eastAsia" w:ascii="宋体"/>
          <w:szCs w:val="21"/>
        </w:rPr>
        <w:t xml:space="preserve">               采购项目编号：</w:t>
      </w:r>
      <w:r>
        <w:rPr>
          <w:rFonts w:hint="eastAsia" w:ascii="宋体"/>
          <w:szCs w:val="21"/>
          <w:u w:val="single"/>
        </w:rPr>
        <w:t xml:space="preserve">         </w:t>
      </w:r>
    </w:p>
    <w:tbl>
      <w:tblPr>
        <w:tblStyle w:val="37"/>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994"/>
        <w:gridCol w:w="2339"/>
        <w:gridCol w:w="2268"/>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3396" w:type="dxa"/>
            <w:gridSpan w:val="2"/>
            <w:noWrap/>
            <w:vAlign w:val="center"/>
          </w:tcPr>
          <w:p>
            <w:pPr>
              <w:spacing w:line="400" w:lineRule="exact"/>
              <w:jc w:val="center"/>
              <w:rPr>
                <w:rFonts w:ascii="宋体"/>
                <w:szCs w:val="21"/>
              </w:rPr>
            </w:pPr>
            <w:r>
              <w:rPr>
                <w:rFonts w:hint="eastAsia" w:ascii="宋体"/>
                <w:szCs w:val="21"/>
              </w:rPr>
              <w:t>总报价</w:t>
            </w:r>
          </w:p>
        </w:tc>
        <w:tc>
          <w:tcPr>
            <w:tcW w:w="2339" w:type="dxa"/>
            <w:noWrap/>
            <w:vAlign w:val="center"/>
          </w:tcPr>
          <w:p>
            <w:pPr>
              <w:spacing w:line="400" w:lineRule="exact"/>
              <w:ind w:firstLine="2" w:firstLineChars="1"/>
              <w:jc w:val="center"/>
              <w:rPr>
                <w:rFonts w:ascii="宋体"/>
                <w:szCs w:val="21"/>
              </w:rPr>
            </w:pPr>
            <w:r>
              <w:rPr>
                <w:rFonts w:hint="eastAsia" w:ascii="宋体"/>
                <w:szCs w:val="21"/>
              </w:rPr>
              <w:t>服务期</w:t>
            </w:r>
          </w:p>
        </w:tc>
        <w:tc>
          <w:tcPr>
            <w:tcW w:w="2268" w:type="dxa"/>
            <w:noWrap/>
            <w:vAlign w:val="center"/>
          </w:tcPr>
          <w:p>
            <w:pPr>
              <w:spacing w:line="400" w:lineRule="exact"/>
              <w:ind w:firstLine="2" w:firstLineChars="1"/>
              <w:jc w:val="center"/>
              <w:rPr>
                <w:rFonts w:ascii="宋体"/>
                <w:szCs w:val="21"/>
              </w:rPr>
            </w:pPr>
            <w:r>
              <w:rPr>
                <w:rFonts w:hint="eastAsia" w:ascii="宋体"/>
                <w:szCs w:val="21"/>
              </w:rPr>
              <w:t>供货期</w:t>
            </w:r>
          </w:p>
        </w:tc>
        <w:tc>
          <w:tcPr>
            <w:tcW w:w="2186" w:type="dxa"/>
            <w:noWrap/>
            <w:vAlign w:val="center"/>
          </w:tcPr>
          <w:p>
            <w:pPr>
              <w:spacing w:line="400" w:lineRule="exact"/>
              <w:ind w:firstLine="2" w:firstLineChars="1"/>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3396" w:type="dxa"/>
            <w:gridSpan w:val="2"/>
            <w:noWrap/>
            <w:vAlign w:val="center"/>
          </w:tcPr>
          <w:p>
            <w:pPr>
              <w:spacing w:line="400" w:lineRule="exact"/>
              <w:rPr>
                <w:szCs w:val="21"/>
              </w:rPr>
            </w:pPr>
            <w:r>
              <w:rPr>
                <w:rFonts w:hint="eastAsia"/>
                <w:szCs w:val="21"/>
              </w:rPr>
              <w:t>小写：</w:t>
            </w:r>
          </w:p>
          <w:p>
            <w:pPr>
              <w:spacing w:line="400" w:lineRule="exact"/>
              <w:rPr>
                <w:szCs w:val="21"/>
              </w:rPr>
            </w:pPr>
            <w:r>
              <w:rPr>
                <w:rFonts w:hint="eastAsia"/>
                <w:szCs w:val="21"/>
              </w:rPr>
              <w:t>大写：</w:t>
            </w:r>
          </w:p>
        </w:tc>
        <w:tc>
          <w:tcPr>
            <w:tcW w:w="2339" w:type="dxa"/>
            <w:noWrap/>
            <w:vAlign w:val="center"/>
          </w:tcPr>
          <w:p>
            <w:pPr>
              <w:spacing w:line="400" w:lineRule="exact"/>
              <w:rPr>
                <w:szCs w:val="21"/>
              </w:rPr>
            </w:pPr>
          </w:p>
        </w:tc>
        <w:tc>
          <w:tcPr>
            <w:tcW w:w="2268" w:type="dxa"/>
            <w:noWrap/>
          </w:tcPr>
          <w:p>
            <w:pPr>
              <w:pStyle w:val="17"/>
              <w:spacing w:line="400" w:lineRule="exact"/>
              <w:rPr>
                <w:rFonts w:cs="Courier New"/>
              </w:rPr>
            </w:pPr>
          </w:p>
        </w:tc>
        <w:tc>
          <w:tcPr>
            <w:tcW w:w="2186" w:type="dxa"/>
            <w:noWrap/>
            <w:vAlign w:val="center"/>
          </w:tcPr>
          <w:p>
            <w:pPr>
              <w:pStyle w:val="17"/>
              <w:spacing w:line="400" w:lineRule="exact"/>
              <w:jc w:val="center"/>
              <w:rPr>
                <w:rFonts w:ascii="Times New Roman"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4" w:hRule="atLeast"/>
          <w:jc w:val="center"/>
        </w:trPr>
        <w:tc>
          <w:tcPr>
            <w:tcW w:w="1402" w:type="dxa"/>
            <w:noWrap/>
          </w:tcPr>
          <w:p>
            <w:pPr>
              <w:spacing w:line="400" w:lineRule="exact"/>
              <w:ind w:firstLine="2" w:firstLineChars="1"/>
              <w:rPr>
                <w:rFonts w:ascii="宋体"/>
                <w:szCs w:val="21"/>
              </w:rPr>
            </w:pPr>
          </w:p>
        </w:tc>
        <w:tc>
          <w:tcPr>
            <w:tcW w:w="8787" w:type="dxa"/>
            <w:gridSpan w:val="4"/>
            <w:noWrap/>
            <w:vAlign w:val="center"/>
          </w:tcPr>
          <w:p>
            <w:pPr>
              <w:spacing w:line="400" w:lineRule="exact"/>
              <w:ind w:firstLine="2" w:firstLineChars="1"/>
              <w:rPr>
                <w:rFonts w:ascii="宋体"/>
                <w:szCs w:val="21"/>
              </w:rPr>
            </w:pPr>
            <w:r>
              <w:rPr>
                <w:rFonts w:hint="eastAsia" w:ascii="宋体"/>
                <w:szCs w:val="21"/>
              </w:rPr>
              <w:t>供应商：（盖单位公章）</w:t>
            </w:r>
          </w:p>
          <w:p>
            <w:pPr>
              <w:spacing w:line="400" w:lineRule="exact"/>
              <w:ind w:firstLine="2" w:firstLineChars="1"/>
              <w:rPr>
                <w:rFonts w:ascii="宋体"/>
                <w:szCs w:val="21"/>
              </w:rPr>
            </w:pPr>
            <w:r>
              <w:rPr>
                <w:rFonts w:hint="eastAsia" w:ascii="宋体"/>
                <w:szCs w:val="21"/>
              </w:rPr>
              <w:t>法定代表人或其委托代理人：（签字或盖章）</w:t>
            </w:r>
          </w:p>
          <w:p>
            <w:pPr>
              <w:adjustRightInd w:val="0"/>
              <w:snapToGrid w:val="0"/>
              <w:spacing w:line="400" w:lineRule="exact"/>
              <w:rPr>
                <w:rFonts w:ascii="宋体"/>
                <w:b/>
                <w:szCs w:val="21"/>
              </w:rPr>
            </w:pPr>
            <w:r>
              <w:rPr>
                <w:rFonts w:hint="eastAsia" w:ascii="宋体"/>
                <w:szCs w:val="21"/>
              </w:rPr>
              <w:t>日期：年  月    日</w:t>
            </w:r>
          </w:p>
          <w:p>
            <w:pPr>
              <w:pStyle w:val="17"/>
              <w:spacing w:line="400" w:lineRule="exact"/>
              <w:jc w:val="center"/>
              <w:rPr>
                <w:rFonts w:ascii="Times New Roman" w:cs="Courier New"/>
              </w:rPr>
            </w:pPr>
          </w:p>
        </w:tc>
      </w:tr>
    </w:tbl>
    <w:p>
      <w:pPr>
        <w:pStyle w:val="17"/>
        <w:spacing w:line="400" w:lineRule="exact"/>
      </w:pPr>
    </w:p>
    <w:p>
      <w:pPr>
        <w:pStyle w:val="17"/>
        <w:spacing w:line="400" w:lineRule="exact"/>
      </w:pPr>
    </w:p>
    <w:p>
      <w:pPr>
        <w:adjustRightInd w:val="0"/>
        <w:snapToGrid w:val="0"/>
        <w:spacing w:line="400" w:lineRule="exact"/>
        <w:ind w:left="-88" w:leftChars="-42"/>
        <w:rPr>
          <w:rFonts w:ascii="宋体"/>
          <w:szCs w:val="21"/>
        </w:rPr>
      </w:pPr>
    </w:p>
    <w:p>
      <w:pPr>
        <w:shd w:val="clear" w:color="auto" w:fill="FFFFFF"/>
        <w:snapToGrid w:val="0"/>
        <w:spacing w:line="400" w:lineRule="exact"/>
        <w:ind w:left="851" w:hanging="851"/>
        <w:rPr>
          <w:rFonts w:ascii="宋体"/>
          <w:sz w:val="24"/>
        </w:rPr>
      </w:pPr>
      <w:r>
        <w:rPr>
          <w:rFonts w:hint="eastAsia" w:ascii="宋体"/>
          <w:sz w:val="24"/>
        </w:rPr>
        <w:t> </w:t>
      </w:r>
    </w:p>
    <w:p>
      <w:pPr>
        <w:pStyle w:val="17"/>
        <w:spacing w:line="360" w:lineRule="auto"/>
        <w:rPr>
          <w:szCs w:val="21"/>
        </w:rPr>
      </w:pPr>
    </w:p>
    <w:p>
      <w:pPr>
        <w:pStyle w:val="17"/>
        <w:spacing w:line="360" w:lineRule="auto"/>
        <w:rPr>
          <w:szCs w:val="21"/>
        </w:rPr>
      </w:pPr>
    </w:p>
    <w:p>
      <w:pPr>
        <w:pStyle w:val="17"/>
        <w:spacing w:line="360" w:lineRule="auto"/>
        <w:rPr>
          <w:szCs w:val="21"/>
        </w:rPr>
      </w:pPr>
    </w:p>
    <w:p>
      <w:pPr>
        <w:pStyle w:val="17"/>
        <w:spacing w:line="360" w:lineRule="auto"/>
        <w:rPr>
          <w:szCs w:val="21"/>
        </w:rPr>
      </w:pPr>
    </w:p>
    <w:p>
      <w:pPr>
        <w:pStyle w:val="17"/>
        <w:spacing w:line="360" w:lineRule="auto"/>
        <w:rPr>
          <w:szCs w:val="21"/>
        </w:rPr>
      </w:pPr>
    </w:p>
    <w:p>
      <w:pPr>
        <w:pStyle w:val="4"/>
        <w:spacing w:before="0" w:line="240" w:lineRule="atLeast"/>
        <w:ind w:left="0" w:firstLine="0"/>
        <w:rPr>
          <w:rFonts w:ascii="宋体" w:hAnsi="宋体" w:eastAsia="宋体"/>
          <w:sz w:val="24"/>
          <w:szCs w:val="24"/>
        </w:rPr>
      </w:pPr>
    </w:p>
    <w:p>
      <w:pPr>
        <w:pStyle w:val="4"/>
        <w:spacing w:before="0" w:line="240" w:lineRule="atLeast"/>
        <w:ind w:left="0" w:firstLine="0"/>
        <w:rPr>
          <w:rFonts w:ascii="宋体" w:hAnsi="宋体" w:eastAsia="宋体"/>
          <w:sz w:val="24"/>
          <w:szCs w:val="24"/>
        </w:rPr>
      </w:pPr>
    </w:p>
    <w:p>
      <w:pPr>
        <w:pStyle w:val="4"/>
        <w:spacing w:before="0" w:line="240" w:lineRule="atLeast"/>
        <w:ind w:left="0" w:firstLine="0"/>
        <w:rPr>
          <w:rFonts w:ascii="宋体" w:hAnsi="宋体" w:eastAsia="宋体"/>
          <w:sz w:val="24"/>
          <w:szCs w:val="24"/>
        </w:rPr>
      </w:pPr>
    </w:p>
    <w:p>
      <w:pPr>
        <w:rPr>
          <w:rFonts w:ascii="宋体" w:hAnsi="宋体"/>
          <w:sz w:val="24"/>
        </w:rPr>
      </w:pPr>
    </w:p>
    <w:p>
      <w:pPr>
        <w:pStyle w:val="3"/>
        <w:rPr>
          <w:rFonts w:ascii="宋体" w:hAnsi="宋体"/>
          <w:sz w:val="24"/>
          <w:szCs w:val="24"/>
        </w:rPr>
      </w:pPr>
    </w:p>
    <w:p>
      <w:pPr>
        <w:rPr>
          <w:rFonts w:ascii="宋体" w:hAnsi="宋体"/>
          <w:sz w:val="24"/>
        </w:rPr>
      </w:pPr>
    </w:p>
    <w:p>
      <w:pPr>
        <w:rPr>
          <w:rFonts w:ascii="宋体" w:hAnsi="宋体"/>
          <w:sz w:val="24"/>
        </w:rPr>
      </w:pPr>
    </w:p>
    <w:p>
      <w:pPr>
        <w:pStyle w:val="4"/>
        <w:spacing w:before="0" w:line="240" w:lineRule="atLeast"/>
        <w:ind w:left="0" w:firstLine="0"/>
        <w:rPr>
          <w:rFonts w:ascii="宋体" w:hAnsi="宋体" w:eastAsia="宋体"/>
          <w:sz w:val="24"/>
          <w:szCs w:val="24"/>
        </w:rPr>
      </w:pPr>
    </w:p>
    <w:p>
      <w:pPr>
        <w:pStyle w:val="4"/>
        <w:spacing w:after="120" w:line="480" w:lineRule="exact"/>
        <w:jc w:val="center"/>
        <w:rPr>
          <w:rFonts w:ascii="黑体" w:cs="黑体"/>
          <w:sz w:val="36"/>
          <w:szCs w:val="36"/>
          <w:lang w:val="zh-CN"/>
        </w:rPr>
      </w:pPr>
      <w:bookmarkStart w:id="349" w:name="_Toc69989553"/>
      <w:bookmarkStart w:id="350" w:name="_Toc84455606"/>
      <w:r>
        <w:rPr>
          <w:rFonts w:hint="eastAsia" w:ascii="宋体" w:hAnsi="宋体"/>
          <w:sz w:val="36"/>
          <w:szCs w:val="36"/>
        </w:rPr>
        <w:t>二次报价明细表</w:t>
      </w:r>
      <w:bookmarkEnd w:id="349"/>
      <w:bookmarkEnd w:id="350"/>
    </w:p>
    <w:p>
      <w:pPr>
        <w:spacing w:line="400" w:lineRule="exact"/>
        <w:rPr>
          <w:rFonts w:ascii="宋体"/>
          <w:szCs w:val="21"/>
          <w:u w:val="single"/>
        </w:rPr>
      </w:pPr>
      <w:r>
        <w:rPr>
          <w:rFonts w:hint="eastAsia" w:ascii="宋体"/>
          <w:szCs w:val="21"/>
        </w:rPr>
        <w:t>项目名称：</w:t>
      </w:r>
      <w:r>
        <w:rPr>
          <w:rFonts w:hint="eastAsia" w:ascii="宋体"/>
          <w:szCs w:val="21"/>
          <w:u w:val="single"/>
        </w:rPr>
        <w:t xml:space="preserve">              </w:t>
      </w:r>
      <w:r>
        <w:rPr>
          <w:rFonts w:hint="eastAsia" w:ascii="宋体"/>
          <w:szCs w:val="21"/>
        </w:rPr>
        <w:t xml:space="preserve">             采购项目编号：</w:t>
      </w:r>
      <w:r>
        <w:rPr>
          <w:rFonts w:hint="eastAsia" w:ascii="宋体"/>
          <w:szCs w:val="21"/>
          <w:u w:val="single"/>
        </w:rPr>
        <w:t xml:space="preserve">           </w:t>
      </w:r>
      <w:r>
        <w:rPr>
          <w:rFonts w:hint="eastAsia" w:ascii="宋体"/>
          <w:szCs w:val="21"/>
        </w:rPr>
        <w:t xml:space="preserve">      货币单位:元  </w:t>
      </w:r>
    </w:p>
    <w:p>
      <w:pPr>
        <w:pStyle w:val="13"/>
      </w:pPr>
    </w:p>
    <w:tbl>
      <w:tblPr>
        <w:tblStyle w:val="37"/>
        <w:tblpPr w:leftFromText="180" w:rightFromText="180" w:vertAnchor="text" w:horzAnchor="page" w:tblpX="1175" w:tblpY="579"/>
        <w:tblOverlap w:val="never"/>
        <w:tblW w:w="969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690"/>
        <w:gridCol w:w="1020"/>
        <w:gridCol w:w="630"/>
        <w:gridCol w:w="1110"/>
        <w:gridCol w:w="1020"/>
        <w:gridCol w:w="1335"/>
        <w:gridCol w:w="1140"/>
        <w:gridCol w:w="825"/>
        <w:gridCol w:w="705"/>
        <w:gridCol w:w="12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vMerge w:val="restart"/>
            <w:tcBorders>
              <w:top w:val="double" w:color="auto" w:sz="4" w:space="0"/>
              <w:left w:val="double" w:color="auto" w:sz="4" w:space="0"/>
              <w:right w:val="single" w:color="auto" w:sz="4" w:space="0"/>
            </w:tcBorders>
            <w:noWrap/>
            <w:vAlign w:val="center"/>
          </w:tcPr>
          <w:p>
            <w:pPr>
              <w:spacing w:line="400" w:lineRule="exact"/>
              <w:jc w:val="center"/>
              <w:rPr>
                <w:rFonts w:ascii="宋体"/>
                <w:b/>
                <w:szCs w:val="21"/>
              </w:rPr>
            </w:pPr>
            <w:r>
              <w:rPr>
                <w:rFonts w:hint="eastAsia" w:ascii="宋体"/>
                <w:b/>
                <w:szCs w:val="21"/>
              </w:rPr>
              <w:t>序号</w:t>
            </w:r>
          </w:p>
        </w:tc>
        <w:tc>
          <w:tcPr>
            <w:tcW w:w="1020" w:type="dxa"/>
            <w:vMerge w:val="restart"/>
            <w:tcBorders>
              <w:top w:val="double" w:color="auto" w:sz="4" w:space="0"/>
              <w:left w:val="single" w:color="auto" w:sz="4" w:space="0"/>
              <w:right w:val="single" w:color="000000" w:sz="6" w:space="0"/>
            </w:tcBorders>
            <w:noWrap/>
            <w:vAlign w:val="center"/>
          </w:tcPr>
          <w:p>
            <w:pPr>
              <w:spacing w:line="400" w:lineRule="exact"/>
              <w:ind w:left="198" w:hanging="198" w:hangingChars="94"/>
              <w:jc w:val="center"/>
              <w:rPr>
                <w:rFonts w:ascii="宋体"/>
                <w:b/>
                <w:szCs w:val="21"/>
              </w:rPr>
            </w:pPr>
            <w:r>
              <w:rPr>
                <w:rFonts w:hint="eastAsia" w:ascii="宋体"/>
                <w:b/>
                <w:szCs w:val="21"/>
              </w:rPr>
              <w:t>货物名称</w:t>
            </w:r>
          </w:p>
        </w:tc>
        <w:tc>
          <w:tcPr>
            <w:tcW w:w="630" w:type="dxa"/>
            <w:vMerge w:val="restart"/>
            <w:tcBorders>
              <w:top w:val="double" w:color="auto" w:sz="4" w:space="0"/>
              <w:left w:val="single" w:color="000000" w:sz="6" w:space="0"/>
              <w:right w:val="single" w:color="000000" w:sz="6" w:space="0"/>
            </w:tcBorders>
            <w:noWrap/>
            <w:vAlign w:val="center"/>
          </w:tcPr>
          <w:p>
            <w:pPr>
              <w:spacing w:line="400" w:lineRule="exact"/>
              <w:jc w:val="center"/>
              <w:rPr>
                <w:rFonts w:ascii="宋体"/>
                <w:b/>
                <w:szCs w:val="21"/>
              </w:rPr>
            </w:pPr>
            <w:r>
              <w:rPr>
                <w:rFonts w:hint="eastAsia" w:ascii="宋体"/>
                <w:b/>
                <w:szCs w:val="21"/>
              </w:rPr>
              <w:t>品牌</w:t>
            </w:r>
          </w:p>
        </w:tc>
        <w:tc>
          <w:tcPr>
            <w:tcW w:w="1110" w:type="dxa"/>
            <w:vMerge w:val="restart"/>
            <w:tcBorders>
              <w:top w:val="double" w:color="auto" w:sz="4" w:space="0"/>
              <w:left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规格型号</w:t>
            </w:r>
          </w:p>
        </w:tc>
        <w:tc>
          <w:tcPr>
            <w:tcW w:w="1020" w:type="dxa"/>
            <w:vMerge w:val="restart"/>
            <w:tcBorders>
              <w:top w:val="double" w:color="auto" w:sz="4" w:space="0"/>
              <w:left w:val="single" w:color="auto" w:sz="4" w:space="0"/>
              <w:right w:val="single" w:color="000000" w:sz="6" w:space="0"/>
            </w:tcBorders>
            <w:noWrap/>
            <w:vAlign w:val="center"/>
          </w:tcPr>
          <w:p>
            <w:pPr>
              <w:spacing w:line="400" w:lineRule="exact"/>
              <w:jc w:val="center"/>
              <w:rPr>
                <w:rFonts w:ascii="宋体"/>
                <w:b/>
                <w:szCs w:val="21"/>
              </w:rPr>
            </w:pPr>
            <w:r>
              <w:rPr>
                <w:rFonts w:hint="eastAsia" w:ascii="宋体"/>
                <w:b/>
                <w:szCs w:val="21"/>
              </w:rPr>
              <w:t>原产地</w:t>
            </w:r>
          </w:p>
        </w:tc>
        <w:tc>
          <w:tcPr>
            <w:tcW w:w="1335" w:type="dxa"/>
            <w:vMerge w:val="restart"/>
            <w:tcBorders>
              <w:top w:val="double" w:color="auto" w:sz="4" w:space="0"/>
              <w:left w:val="single" w:color="000000" w:sz="6" w:space="0"/>
              <w:right w:val="single" w:color="000000" w:sz="6" w:space="0"/>
            </w:tcBorders>
            <w:noWrap/>
            <w:vAlign w:val="center"/>
          </w:tcPr>
          <w:p>
            <w:pPr>
              <w:spacing w:line="400" w:lineRule="exact"/>
              <w:jc w:val="center"/>
              <w:rPr>
                <w:rFonts w:ascii="宋体"/>
                <w:b/>
                <w:szCs w:val="21"/>
              </w:rPr>
            </w:pPr>
            <w:r>
              <w:rPr>
                <w:rFonts w:hint="eastAsia" w:ascii="宋体"/>
                <w:b/>
                <w:szCs w:val="21"/>
              </w:rPr>
              <w:t>制造商名称</w:t>
            </w:r>
          </w:p>
        </w:tc>
        <w:tc>
          <w:tcPr>
            <w:tcW w:w="1140" w:type="dxa"/>
            <w:vMerge w:val="restart"/>
            <w:tcBorders>
              <w:top w:val="double" w:color="auto" w:sz="4" w:space="0"/>
              <w:left w:val="single" w:color="000000" w:sz="6" w:space="0"/>
              <w:right w:val="single" w:color="000000" w:sz="6" w:space="0"/>
            </w:tcBorders>
            <w:noWrap/>
            <w:vAlign w:val="center"/>
          </w:tcPr>
          <w:p>
            <w:pPr>
              <w:spacing w:line="400" w:lineRule="exact"/>
              <w:jc w:val="center"/>
              <w:rPr>
                <w:rFonts w:ascii="宋体"/>
                <w:b/>
                <w:szCs w:val="21"/>
              </w:rPr>
            </w:pPr>
            <w:r>
              <w:rPr>
                <w:rFonts w:hint="eastAsia" w:ascii="宋体"/>
                <w:b/>
                <w:szCs w:val="21"/>
              </w:rPr>
              <w:t>数量</w:t>
            </w:r>
          </w:p>
        </w:tc>
        <w:tc>
          <w:tcPr>
            <w:tcW w:w="1530" w:type="dxa"/>
            <w:gridSpan w:val="2"/>
            <w:tcBorders>
              <w:top w:val="double" w:color="auto" w:sz="4" w:space="0"/>
              <w:left w:val="single" w:color="000000" w:sz="6" w:space="0"/>
              <w:bottom w:val="single" w:color="auto" w:sz="4" w:space="0"/>
              <w:right w:val="double" w:color="auto" w:sz="4" w:space="0"/>
            </w:tcBorders>
            <w:noWrap/>
            <w:vAlign w:val="center"/>
          </w:tcPr>
          <w:p>
            <w:pPr>
              <w:spacing w:line="400" w:lineRule="exact"/>
              <w:jc w:val="center"/>
              <w:rPr>
                <w:rFonts w:ascii="宋体"/>
                <w:b/>
                <w:szCs w:val="21"/>
              </w:rPr>
            </w:pPr>
            <w:r>
              <w:rPr>
                <w:rFonts w:hint="eastAsia" w:ascii="宋体"/>
                <w:b/>
                <w:szCs w:val="21"/>
              </w:rPr>
              <w:t>价格</w:t>
            </w:r>
          </w:p>
        </w:tc>
        <w:tc>
          <w:tcPr>
            <w:tcW w:w="1215" w:type="dxa"/>
            <w:vMerge w:val="restart"/>
            <w:tcBorders>
              <w:top w:val="double" w:color="auto" w:sz="4" w:space="0"/>
              <w:left w:val="single" w:color="000000" w:sz="6" w:space="0"/>
              <w:right w:val="double" w:color="auto" w:sz="4" w:space="0"/>
            </w:tcBorders>
            <w:noWrap/>
            <w:vAlign w:val="center"/>
          </w:tcPr>
          <w:p>
            <w:pPr>
              <w:tabs>
                <w:tab w:val="left" w:pos="572"/>
              </w:tabs>
              <w:spacing w:line="400" w:lineRule="exact"/>
              <w:jc w:val="center"/>
              <w:rPr>
                <w:rFonts w:ascii="宋体"/>
                <w:b/>
                <w:szCs w:val="21"/>
              </w:rPr>
            </w:pPr>
            <w:r>
              <w:rPr>
                <w:rFonts w:hint="eastAsia" w:ascii="宋体"/>
                <w:b/>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17" w:hRule="atLeast"/>
        </w:trPr>
        <w:tc>
          <w:tcPr>
            <w:tcW w:w="690" w:type="dxa"/>
            <w:vMerge w:val="continue"/>
            <w:tcBorders>
              <w:left w:val="double" w:color="auto" w:sz="4" w:space="0"/>
              <w:bottom w:val="single" w:color="auto" w:sz="4" w:space="0"/>
              <w:right w:val="single" w:color="auto" w:sz="4" w:space="0"/>
            </w:tcBorders>
            <w:noWrap/>
            <w:vAlign w:val="center"/>
          </w:tcPr>
          <w:p>
            <w:pPr>
              <w:spacing w:line="400" w:lineRule="exact"/>
            </w:pPr>
          </w:p>
        </w:tc>
        <w:tc>
          <w:tcPr>
            <w:tcW w:w="1020" w:type="dxa"/>
            <w:vMerge w:val="continue"/>
            <w:tcBorders>
              <w:left w:val="single" w:color="auto" w:sz="4" w:space="0"/>
              <w:bottom w:val="single" w:color="auto" w:sz="4" w:space="0"/>
              <w:right w:val="single" w:color="000000" w:sz="6" w:space="0"/>
            </w:tcBorders>
            <w:noWrap/>
            <w:vAlign w:val="center"/>
          </w:tcPr>
          <w:p>
            <w:pPr>
              <w:spacing w:line="400" w:lineRule="exact"/>
            </w:pPr>
          </w:p>
        </w:tc>
        <w:tc>
          <w:tcPr>
            <w:tcW w:w="630" w:type="dxa"/>
            <w:vMerge w:val="continue"/>
            <w:tcBorders>
              <w:left w:val="single" w:color="000000" w:sz="6" w:space="0"/>
              <w:bottom w:val="single" w:color="auto" w:sz="4" w:space="0"/>
              <w:right w:val="single" w:color="000000" w:sz="6" w:space="0"/>
            </w:tcBorders>
            <w:noWrap/>
          </w:tcPr>
          <w:p>
            <w:pPr>
              <w:spacing w:line="400" w:lineRule="exact"/>
            </w:pPr>
          </w:p>
        </w:tc>
        <w:tc>
          <w:tcPr>
            <w:tcW w:w="1110" w:type="dxa"/>
            <w:vMerge w:val="continue"/>
            <w:tcBorders>
              <w:left w:val="single" w:color="000000" w:sz="6" w:space="0"/>
              <w:bottom w:val="single" w:color="auto" w:sz="4" w:space="0"/>
              <w:right w:val="single" w:color="auto" w:sz="4" w:space="0"/>
            </w:tcBorders>
            <w:noWrap/>
            <w:vAlign w:val="center"/>
          </w:tcPr>
          <w:p>
            <w:pPr>
              <w:spacing w:line="400" w:lineRule="exact"/>
            </w:pPr>
          </w:p>
        </w:tc>
        <w:tc>
          <w:tcPr>
            <w:tcW w:w="1020" w:type="dxa"/>
            <w:vMerge w:val="continue"/>
            <w:tcBorders>
              <w:left w:val="single" w:color="auto" w:sz="4" w:space="0"/>
              <w:bottom w:val="single" w:color="auto" w:sz="4" w:space="0"/>
              <w:right w:val="single" w:color="000000" w:sz="6" w:space="0"/>
            </w:tcBorders>
            <w:noWrap/>
            <w:vAlign w:val="center"/>
          </w:tcPr>
          <w:p>
            <w:pPr>
              <w:spacing w:line="400" w:lineRule="exact"/>
            </w:pPr>
          </w:p>
        </w:tc>
        <w:tc>
          <w:tcPr>
            <w:tcW w:w="1335" w:type="dxa"/>
            <w:vMerge w:val="continue"/>
            <w:tcBorders>
              <w:left w:val="single" w:color="000000" w:sz="6" w:space="0"/>
              <w:bottom w:val="single" w:color="auto" w:sz="4" w:space="0"/>
              <w:right w:val="single" w:color="000000" w:sz="6" w:space="0"/>
            </w:tcBorders>
            <w:noWrap/>
          </w:tcPr>
          <w:p>
            <w:pPr>
              <w:spacing w:line="400" w:lineRule="exact"/>
            </w:pPr>
          </w:p>
        </w:tc>
        <w:tc>
          <w:tcPr>
            <w:tcW w:w="1140" w:type="dxa"/>
            <w:vMerge w:val="continue"/>
            <w:tcBorders>
              <w:left w:val="single" w:color="000000" w:sz="6" w:space="0"/>
              <w:bottom w:val="single" w:color="auto" w:sz="4" w:space="0"/>
              <w:right w:val="single" w:color="000000" w:sz="6" w:space="0"/>
            </w:tcBorders>
            <w:noWrap/>
            <w:vAlign w:val="center"/>
          </w:tcPr>
          <w:p>
            <w:pPr>
              <w:spacing w:line="400" w:lineRule="exact"/>
            </w:pPr>
          </w:p>
        </w:tc>
        <w:tc>
          <w:tcPr>
            <w:tcW w:w="825" w:type="dxa"/>
            <w:tcBorders>
              <w:top w:val="single" w:color="auto" w:sz="4" w:space="0"/>
              <w:left w:val="single" w:color="000000" w:sz="6" w:space="0"/>
              <w:bottom w:val="single" w:color="auto" w:sz="4" w:space="0"/>
              <w:right w:val="single" w:color="000000" w:sz="6" w:space="0"/>
            </w:tcBorders>
            <w:noWrap/>
            <w:vAlign w:val="center"/>
          </w:tcPr>
          <w:p>
            <w:pPr>
              <w:spacing w:line="400" w:lineRule="exact"/>
              <w:jc w:val="center"/>
              <w:rPr>
                <w:rFonts w:ascii="宋体"/>
                <w:b/>
                <w:szCs w:val="21"/>
              </w:rPr>
            </w:pPr>
            <w:r>
              <w:rPr>
                <w:rFonts w:hint="eastAsia" w:ascii="宋体"/>
                <w:b/>
                <w:szCs w:val="21"/>
              </w:rPr>
              <w:t>单价</w:t>
            </w:r>
          </w:p>
        </w:tc>
        <w:tc>
          <w:tcPr>
            <w:tcW w:w="705" w:type="dxa"/>
            <w:tcBorders>
              <w:top w:val="single" w:color="auto" w:sz="4" w:space="0"/>
              <w:left w:val="single" w:color="000000" w:sz="6" w:space="0"/>
              <w:bottom w:val="single" w:color="auto" w:sz="4" w:space="0"/>
              <w:right w:val="double" w:color="auto" w:sz="4" w:space="0"/>
            </w:tcBorders>
            <w:noWrap/>
            <w:vAlign w:val="center"/>
          </w:tcPr>
          <w:p>
            <w:pPr>
              <w:spacing w:line="400" w:lineRule="exact"/>
              <w:jc w:val="center"/>
              <w:rPr>
                <w:rFonts w:ascii="宋体"/>
                <w:b/>
                <w:szCs w:val="21"/>
              </w:rPr>
            </w:pPr>
            <w:r>
              <w:rPr>
                <w:rFonts w:hint="eastAsia" w:ascii="宋体"/>
                <w:b/>
                <w:szCs w:val="21"/>
              </w:rPr>
              <w:t>合计</w:t>
            </w:r>
          </w:p>
        </w:tc>
        <w:tc>
          <w:tcPr>
            <w:tcW w:w="1215" w:type="dxa"/>
            <w:vMerge w:val="continue"/>
            <w:tcBorders>
              <w:left w:val="single" w:color="000000" w:sz="6" w:space="0"/>
              <w:bottom w:val="single" w:color="auto" w:sz="4" w:space="0"/>
              <w:right w:val="double" w:color="auto" w:sz="4" w:space="0"/>
            </w:tcBorders>
            <w:noWrap/>
            <w:vAlign w:val="center"/>
          </w:tcPr>
          <w:p>
            <w:pPr>
              <w:spacing w:line="400" w:lineRule="exact"/>
              <w:jc w:val="center"/>
              <w:rPr>
                <w:rFonts w:ascii="宋体"/>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auto" w:sz="4"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1</w:t>
            </w:r>
          </w:p>
        </w:tc>
        <w:tc>
          <w:tcPr>
            <w:tcW w:w="1020" w:type="dxa"/>
            <w:tcBorders>
              <w:top w:val="single" w:color="auto" w:sz="4"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auto" w:sz="4"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auto" w:sz="4"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auto" w:sz="4"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auto" w:sz="4"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auto" w:sz="4"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auto" w:sz="4"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tcBorders>
              <w:top w:val="single" w:color="auto" w:sz="4" w:space="0"/>
              <w:left w:val="single" w:color="000000" w:sz="6" w:space="0"/>
              <w:bottom w:val="single" w:color="auto" w:sz="4" w:space="0"/>
              <w:right w:val="double" w:color="auto" w:sz="4" w:space="0"/>
            </w:tcBorders>
            <w:noWrap/>
            <w:vAlign w:val="center"/>
          </w:tcPr>
          <w:p>
            <w:pPr>
              <w:spacing w:line="400" w:lineRule="exact"/>
              <w:rPr>
                <w:rFonts w:ascii="宋体"/>
                <w:szCs w:val="21"/>
              </w:rPr>
            </w:pPr>
          </w:p>
        </w:tc>
        <w:tc>
          <w:tcPr>
            <w:tcW w:w="1215" w:type="dxa"/>
            <w:tcBorders>
              <w:top w:val="single" w:color="auto" w:sz="4" w:space="0"/>
              <w:left w:val="single" w:color="000000" w:sz="6" w:space="0"/>
              <w:bottom w:val="single" w:color="auto" w:sz="4" w:space="0"/>
              <w:right w:val="double" w:color="auto" w:sz="4" w:space="0"/>
            </w:tcBorders>
            <w:noWrap/>
            <w:vAlign w:val="center"/>
          </w:tcPr>
          <w:p>
            <w:pPr>
              <w:spacing w:line="400" w:lineRule="exact"/>
              <w:jc w:val="center"/>
              <w:rPr>
                <w:rFonts w:ascii="宋体"/>
                <w:szCs w:val="21"/>
              </w:rPr>
            </w:pPr>
            <w:r>
              <w:rPr>
                <w:rFonts w:hint="eastAsia" w:ascii="宋体"/>
                <w:szCs w:val="21"/>
              </w:rPr>
              <w:t>半自动体外除颤仪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2</w:t>
            </w: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restart"/>
            <w:tcBorders>
              <w:top w:val="single" w:color="auto" w:sz="4" w:space="0"/>
              <w:left w:val="single" w:color="000000" w:sz="6" w:space="0"/>
              <w:right w:val="double" w:color="auto" w:sz="4" w:space="0"/>
            </w:tcBorders>
            <w:noWrap/>
            <w:vAlign w:val="center"/>
          </w:tcPr>
          <w:p>
            <w:pPr>
              <w:spacing w:line="400" w:lineRule="exact"/>
              <w:rPr>
                <w:rFonts w:ascii="宋体"/>
                <w:szCs w:val="21"/>
              </w:rPr>
            </w:pPr>
          </w:p>
        </w:tc>
        <w:tc>
          <w:tcPr>
            <w:tcW w:w="1215" w:type="dxa"/>
            <w:vMerge w:val="restart"/>
            <w:tcBorders>
              <w:top w:val="single" w:color="auto" w:sz="4" w:space="0"/>
              <w:left w:val="single" w:color="000000" w:sz="6" w:space="0"/>
              <w:right w:val="double" w:color="auto" w:sz="4" w:space="0"/>
            </w:tcBorders>
            <w:noWrap/>
            <w:vAlign w:val="center"/>
          </w:tcPr>
          <w:p>
            <w:pPr>
              <w:spacing w:line="400" w:lineRule="exact"/>
              <w:jc w:val="center"/>
              <w:rPr>
                <w:rFonts w:ascii="宋体"/>
                <w:szCs w:val="21"/>
              </w:rPr>
            </w:pPr>
            <w:r>
              <w:rPr>
                <w:rFonts w:hint="eastAsia" w:ascii="宋体"/>
                <w:szCs w:val="21"/>
              </w:rPr>
              <w:t>急救箱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r>
              <w:rPr>
                <w:rFonts w:hint="eastAsia" w:ascii="宋体"/>
                <w:b/>
                <w:szCs w:val="21"/>
              </w:rPr>
              <w:t>…</w:t>
            </w: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continue"/>
            <w:tcBorders>
              <w:left w:val="single" w:color="000000" w:sz="6"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continue"/>
            <w:tcBorders>
              <w:left w:val="single" w:color="000000" w:sz="6"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10" w:type="dxa"/>
            <w:tcBorders>
              <w:top w:val="single" w:color="000000" w:sz="6" w:space="0"/>
              <w:left w:val="single" w:color="000000" w:sz="6" w:space="0"/>
              <w:bottom w:val="single" w:color="000000" w:sz="6" w:space="0"/>
              <w:right w:val="single" w:color="auto" w:sz="4" w:space="0"/>
            </w:tcBorders>
            <w:noWrap/>
            <w:vAlign w:val="center"/>
          </w:tcPr>
          <w:p>
            <w:pPr>
              <w:adjustRightInd w:val="0"/>
              <w:snapToGrid w:val="0"/>
              <w:spacing w:line="400" w:lineRule="exact"/>
              <w:ind w:left="907" w:hanging="907"/>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1335" w:type="dxa"/>
            <w:tcBorders>
              <w:top w:val="single" w:color="000000" w:sz="6" w:space="0"/>
              <w:left w:val="single" w:color="000000" w:sz="6" w:space="0"/>
              <w:bottom w:val="single" w:color="000000" w:sz="6" w:space="0"/>
              <w:right w:val="single" w:color="000000" w:sz="6" w:space="0"/>
            </w:tcBorders>
            <w:noWrap/>
          </w:tcPr>
          <w:p>
            <w:pPr>
              <w:adjustRightInd w:val="0"/>
              <w:snapToGrid w:val="0"/>
              <w:spacing w:line="400" w:lineRule="exact"/>
              <w:ind w:left="907" w:hanging="907"/>
              <w:textAlignment w:val="center"/>
              <w:rPr>
                <w:rFonts w:ascii="宋体"/>
                <w:bCs/>
                <w:szCs w:val="21"/>
              </w:rPr>
            </w:pPr>
          </w:p>
        </w:tc>
        <w:tc>
          <w:tcPr>
            <w:tcW w:w="114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82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spacing w:line="400" w:lineRule="exact"/>
              <w:ind w:left="907" w:hanging="907"/>
              <w:textAlignment w:val="center"/>
              <w:rPr>
                <w:rFonts w:ascii="宋体"/>
                <w:bCs/>
                <w:szCs w:val="21"/>
              </w:rPr>
            </w:pPr>
          </w:p>
        </w:tc>
        <w:tc>
          <w:tcPr>
            <w:tcW w:w="705" w:type="dxa"/>
            <w:vMerge w:val="continue"/>
            <w:tcBorders>
              <w:left w:val="single" w:color="000000" w:sz="6" w:space="0"/>
              <w:bottom w:val="single" w:color="auto" w:sz="4"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bottom w:val="single" w:color="auto" w:sz="4"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double" w:color="auto" w:sz="4"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double" w:color="auto" w:sz="4" w:space="0"/>
              <w:left w:val="single" w:color="auto" w:sz="4" w:space="0"/>
              <w:bottom w:val="single" w:color="000000" w:sz="6" w:space="0"/>
              <w:right w:val="single" w:color="000000" w:sz="6" w:space="0"/>
            </w:tcBorders>
            <w:noWrap/>
            <w:vAlign w:val="center"/>
          </w:tcPr>
          <w:p>
            <w:pPr>
              <w:spacing w:line="400" w:lineRule="exact"/>
              <w:jc w:val="center"/>
              <w:rPr>
                <w:rFonts w:ascii="宋体"/>
                <w:b/>
                <w:szCs w:val="21"/>
              </w:rPr>
            </w:pPr>
          </w:p>
        </w:tc>
        <w:tc>
          <w:tcPr>
            <w:tcW w:w="630" w:type="dxa"/>
            <w:tcBorders>
              <w:top w:val="double" w:color="auto" w:sz="4" w:space="0"/>
              <w:left w:val="single" w:color="000000" w:sz="6" w:space="0"/>
              <w:bottom w:val="single" w:color="000000" w:sz="6" w:space="0"/>
              <w:right w:val="single" w:color="auto" w:sz="4" w:space="0"/>
            </w:tcBorders>
            <w:noWrap/>
          </w:tcPr>
          <w:p>
            <w:pPr>
              <w:spacing w:line="400" w:lineRule="exact"/>
              <w:jc w:val="center"/>
              <w:rPr>
                <w:rFonts w:ascii="宋体"/>
                <w:b/>
                <w:szCs w:val="21"/>
              </w:rPr>
            </w:pPr>
          </w:p>
        </w:tc>
        <w:tc>
          <w:tcPr>
            <w:tcW w:w="1110" w:type="dxa"/>
            <w:tcBorders>
              <w:top w:val="double" w:color="auto" w:sz="4"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020" w:type="dxa"/>
            <w:tcBorders>
              <w:top w:val="double" w:color="auto" w:sz="4"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335" w:type="dxa"/>
            <w:tcBorders>
              <w:top w:val="double" w:color="auto" w:sz="4"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140" w:type="dxa"/>
            <w:tcBorders>
              <w:top w:val="double" w:color="auto" w:sz="4" w:space="0"/>
              <w:left w:val="single" w:color="auto" w:sz="4" w:space="0"/>
              <w:bottom w:val="single" w:color="000000" w:sz="6" w:space="0"/>
              <w:right w:val="single" w:color="000000" w:sz="6" w:space="0"/>
            </w:tcBorders>
            <w:noWrap/>
          </w:tcPr>
          <w:p>
            <w:pPr>
              <w:spacing w:line="400" w:lineRule="exact"/>
              <w:jc w:val="center"/>
              <w:rPr>
                <w:rFonts w:ascii="宋体"/>
                <w:b/>
                <w:szCs w:val="21"/>
              </w:rPr>
            </w:pPr>
          </w:p>
        </w:tc>
        <w:tc>
          <w:tcPr>
            <w:tcW w:w="825" w:type="dxa"/>
            <w:tcBorders>
              <w:top w:val="double" w:color="auto" w:sz="4" w:space="0"/>
              <w:left w:val="single" w:color="000000" w:sz="6" w:space="0"/>
              <w:bottom w:val="single" w:color="auto" w:sz="4" w:space="0"/>
              <w:right w:val="single" w:color="auto" w:sz="4" w:space="0"/>
            </w:tcBorders>
            <w:noWrap/>
            <w:vAlign w:val="center"/>
          </w:tcPr>
          <w:p>
            <w:pPr>
              <w:spacing w:line="400" w:lineRule="exact"/>
              <w:jc w:val="center"/>
              <w:rPr>
                <w:rFonts w:ascii="宋体"/>
                <w:b/>
                <w:szCs w:val="21"/>
              </w:rPr>
            </w:pPr>
          </w:p>
        </w:tc>
        <w:tc>
          <w:tcPr>
            <w:tcW w:w="705" w:type="dxa"/>
            <w:vMerge w:val="restart"/>
            <w:tcBorders>
              <w:top w:val="double" w:color="auto" w:sz="4" w:space="0"/>
              <w:left w:val="single" w:color="auto" w:sz="4" w:space="0"/>
              <w:right w:val="double" w:color="auto" w:sz="4" w:space="0"/>
            </w:tcBorders>
            <w:noWrap/>
            <w:vAlign w:val="center"/>
          </w:tcPr>
          <w:p>
            <w:pPr>
              <w:spacing w:line="400" w:lineRule="exact"/>
              <w:jc w:val="center"/>
              <w:rPr>
                <w:rFonts w:ascii="宋体"/>
                <w:b/>
                <w:szCs w:val="21"/>
              </w:rPr>
            </w:pPr>
          </w:p>
        </w:tc>
        <w:tc>
          <w:tcPr>
            <w:tcW w:w="1215" w:type="dxa"/>
            <w:vMerge w:val="restart"/>
            <w:tcBorders>
              <w:top w:val="double" w:color="auto" w:sz="4" w:space="0"/>
              <w:left w:val="single" w:color="000000" w:sz="6" w:space="0"/>
              <w:right w:val="double" w:color="auto" w:sz="4" w:space="0"/>
            </w:tcBorders>
            <w:noWrap/>
            <w:vAlign w:val="center"/>
          </w:tcPr>
          <w:p>
            <w:pPr>
              <w:adjustRightInd w:val="0"/>
              <w:snapToGrid w:val="0"/>
              <w:spacing w:line="400" w:lineRule="exact"/>
              <w:ind w:left="907" w:hanging="907"/>
              <w:jc w:val="center"/>
              <w:textAlignment w:val="center"/>
              <w:rPr>
                <w:rFonts w:ascii="宋体"/>
                <w:szCs w:val="21"/>
              </w:rPr>
            </w:pPr>
            <w:r>
              <w:rPr>
                <w:rFonts w:hint="eastAsia" w:ascii="宋体"/>
                <w:szCs w:val="21"/>
              </w:rPr>
              <w:t>医疗箱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jc w:val="center"/>
              <w:rPr>
                <w:rFonts w:ascii="宋体"/>
                <w:b/>
                <w:szCs w:val="21"/>
              </w:rPr>
            </w:pPr>
          </w:p>
        </w:tc>
        <w:tc>
          <w:tcPr>
            <w:tcW w:w="630" w:type="dxa"/>
            <w:tcBorders>
              <w:top w:val="single" w:color="000000" w:sz="6" w:space="0"/>
              <w:left w:val="single" w:color="000000" w:sz="6" w:space="0"/>
              <w:bottom w:val="single" w:color="000000" w:sz="6" w:space="0"/>
              <w:right w:val="single" w:color="auto" w:sz="4" w:space="0"/>
            </w:tcBorders>
            <w:noWrap/>
          </w:tcPr>
          <w:p>
            <w:pPr>
              <w:spacing w:line="400" w:lineRule="exact"/>
              <w:jc w:val="center"/>
              <w:rPr>
                <w:rFonts w:ascii="宋体"/>
                <w:b/>
                <w:szCs w:val="21"/>
              </w:rPr>
            </w:pPr>
          </w:p>
        </w:tc>
        <w:tc>
          <w:tcPr>
            <w:tcW w:w="111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335"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140" w:type="dxa"/>
            <w:tcBorders>
              <w:top w:val="single" w:color="000000" w:sz="6" w:space="0"/>
              <w:left w:val="single" w:color="auto" w:sz="4" w:space="0"/>
              <w:bottom w:val="single" w:color="000000" w:sz="6" w:space="0"/>
              <w:right w:val="single" w:color="000000" w:sz="6" w:space="0"/>
            </w:tcBorders>
            <w:noWrap/>
          </w:tcPr>
          <w:p>
            <w:pPr>
              <w:spacing w:line="400" w:lineRule="exact"/>
              <w:jc w:val="center"/>
              <w:rPr>
                <w:rFonts w:ascii="宋体"/>
                <w:b/>
                <w:szCs w:val="21"/>
              </w:rPr>
            </w:pP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400" w:lineRule="exact"/>
              <w:jc w:val="center"/>
              <w:rPr>
                <w:rFonts w:ascii="宋体"/>
                <w:b/>
                <w:szCs w:val="21"/>
              </w:rPr>
            </w:pPr>
          </w:p>
        </w:tc>
        <w:tc>
          <w:tcPr>
            <w:tcW w:w="705" w:type="dxa"/>
            <w:vMerge w:val="continue"/>
            <w:tcBorders>
              <w:left w:val="single" w:color="auto" w:sz="4" w:space="0"/>
              <w:right w:val="double" w:color="auto" w:sz="4" w:space="0"/>
            </w:tcBorders>
            <w:noWrap/>
            <w:vAlign w:val="center"/>
          </w:tcPr>
          <w:p>
            <w:pPr>
              <w:spacing w:line="400" w:lineRule="exact"/>
              <w:jc w:val="center"/>
              <w:rPr>
                <w:rFonts w:ascii="宋体"/>
                <w:b/>
                <w:szCs w:val="21"/>
              </w:rPr>
            </w:pPr>
          </w:p>
        </w:tc>
        <w:tc>
          <w:tcPr>
            <w:tcW w:w="1215" w:type="dxa"/>
            <w:vMerge w:val="continue"/>
            <w:tcBorders>
              <w:left w:val="single" w:color="000000" w:sz="6" w:space="0"/>
              <w:right w:val="double" w:color="auto" w:sz="4" w:space="0"/>
            </w:tcBorders>
            <w:noWrap/>
            <w:vAlign w:val="center"/>
          </w:tcPr>
          <w:p>
            <w:pPr>
              <w:adjustRightInd w:val="0"/>
              <w:snapToGrid w:val="0"/>
              <w:spacing w:line="400" w:lineRule="exact"/>
              <w:ind w:left="907" w:hanging="907"/>
              <w:textAlignment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1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jc w:val="center"/>
              <w:rPr>
                <w:rFonts w:ascii="宋体"/>
                <w:b/>
                <w:szCs w:val="21"/>
              </w:rPr>
            </w:pPr>
          </w:p>
        </w:tc>
        <w:tc>
          <w:tcPr>
            <w:tcW w:w="630" w:type="dxa"/>
            <w:tcBorders>
              <w:top w:val="single" w:color="000000" w:sz="6" w:space="0"/>
              <w:left w:val="single" w:color="000000" w:sz="6" w:space="0"/>
              <w:bottom w:val="single" w:color="000000" w:sz="6" w:space="0"/>
              <w:right w:val="single" w:color="auto" w:sz="4" w:space="0"/>
            </w:tcBorders>
            <w:noWrap/>
          </w:tcPr>
          <w:p>
            <w:pPr>
              <w:spacing w:line="400" w:lineRule="exact"/>
              <w:jc w:val="center"/>
              <w:rPr>
                <w:rFonts w:ascii="宋体"/>
                <w:b/>
                <w:szCs w:val="21"/>
              </w:rPr>
            </w:pPr>
          </w:p>
        </w:tc>
        <w:tc>
          <w:tcPr>
            <w:tcW w:w="111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020"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335" w:type="dxa"/>
            <w:tcBorders>
              <w:top w:val="single" w:color="000000" w:sz="6" w:space="0"/>
              <w:left w:val="single" w:color="auto" w:sz="4" w:space="0"/>
              <w:bottom w:val="single" w:color="000000" w:sz="6" w:space="0"/>
              <w:right w:val="single" w:color="auto" w:sz="4" w:space="0"/>
            </w:tcBorders>
            <w:noWrap/>
          </w:tcPr>
          <w:p>
            <w:pPr>
              <w:spacing w:line="400" w:lineRule="exact"/>
              <w:jc w:val="center"/>
              <w:rPr>
                <w:rFonts w:ascii="宋体"/>
                <w:b/>
                <w:szCs w:val="21"/>
              </w:rPr>
            </w:pPr>
          </w:p>
        </w:tc>
        <w:tc>
          <w:tcPr>
            <w:tcW w:w="1140" w:type="dxa"/>
            <w:tcBorders>
              <w:top w:val="single" w:color="000000" w:sz="6" w:space="0"/>
              <w:left w:val="single" w:color="auto" w:sz="4" w:space="0"/>
              <w:bottom w:val="single" w:color="000000" w:sz="6" w:space="0"/>
              <w:right w:val="single" w:color="000000" w:sz="6" w:space="0"/>
            </w:tcBorders>
            <w:noWrap/>
          </w:tcPr>
          <w:p>
            <w:pPr>
              <w:spacing w:line="400" w:lineRule="exact"/>
              <w:jc w:val="center"/>
              <w:rPr>
                <w:rFonts w:ascii="宋体"/>
                <w:b/>
                <w:szCs w:val="21"/>
              </w:rPr>
            </w:pP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400" w:lineRule="exact"/>
              <w:jc w:val="center"/>
              <w:rPr>
                <w:rFonts w:ascii="宋体"/>
                <w:b/>
                <w:szCs w:val="21"/>
              </w:rPr>
            </w:pPr>
          </w:p>
        </w:tc>
        <w:tc>
          <w:tcPr>
            <w:tcW w:w="705" w:type="dxa"/>
            <w:vMerge w:val="continue"/>
            <w:tcBorders>
              <w:left w:val="single" w:color="auto" w:sz="4" w:space="0"/>
              <w:right w:val="double" w:color="auto" w:sz="4" w:space="0"/>
            </w:tcBorders>
            <w:noWrap/>
            <w:vAlign w:val="center"/>
          </w:tcPr>
          <w:p>
            <w:pPr>
              <w:spacing w:line="400" w:lineRule="exact"/>
              <w:jc w:val="center"/>
              <w:rPr>
                <w:rFonts w:ascii="宋体"/>
                <w:b/>
                <w:szCs w:val="21"/>
              </w:rPr>
            </w:pPr>
          </w:p>
        </w:tc>
        <w:tc>
          <w:tcPr>
            <w:tcW w:w="1215" w:type="dxa"/>
            <w:vMerge w:val="continue"/>
            <w:tcBorders>
              <w:left w:val="single" w:color="000000" w:sz="6" w:space="0"/>
              <w:right w:val="double" w:color="auto" w:sz="4" w:space="0"/>
            </w:tcBorders>
            <w:noWrap/>
            <w:vAlign w:val="center"/>
          </w:tcPr>
          <w:p>
            <w:pPr>
              <w:adjustRightInd w:val="0"/>
              <w:snapToGrid w:val="0"/>
              <w:spacing w:line="400" w:lineRule="exact"/>
              <w:ind w:left="907" w:hanging="907"/>
              <w:textAlignment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690" w:type="dxa"/>
            <w:tcBorders>
              <w:top w:val="single" w:color="000000" w:sz="6" w:space="0"/>
              <w:left w:val="double" w:color="auto" w:sz="4" w:space="0"/>
              <w:bottom w:val="single" w:color="000000" w:sz="6" w:space="0"/>
              <w:right w:val="single" w:color="auto" w:sz="4" w:space="0"/>
            </w:tcBorders>
            <w:noWrap/>
            <w:vAlign w:val="center"/>
          </w:tcPr>
          <w:p>
            <w:pPr>
              <w:spacing w:line="400" w:lineRule="exact"/>
              <w:rPr>
                <w:rFonts w:ascii="宋体"/>
                <w:szCs w:val="21"/>
              </w:rPr>
            </w:pPr>
          </w:p>
        </w:tc>
        <w:tc>
          <w:tcPr>
            <w:tcW w:w="1020"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ascii="宋体"/>
                <w:szCs w:val="21"/>
              </w:rPr>
            </w:pPr>
          </w:p>
        </w:tc>
        <w:tc>
          <w:tcPr>
            <w:tcW w:w="630" w:type="dxa"/>
            <w:tcBorders>
              <w:top w:val="single" w:color="000000" w:sz="6" w:space="0"/>
              <w:left w:val="single" w:color="000000" w:sz="6"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110" w:type="dxa"/>
            <w:tcBorders>
              <w:top w:val="single" w:color="000000" w:sz="6" w:space="0"/>
              <w:left w:val="single" w:color="auto" w:sz="4"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020" w:type="dxa"/>
            <w:tcBorders>
              <w:top w:val="single" w:color="000000" w:sz="6" w:space="0"/>
              <w:left w:val="single" w:color="auto" w:sz="4"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335" w:type="dxa"/>
            <w:tcBorders>
              <w:top w:val="single" w:color="000000" w:sz="6" w:space="0"/>
              <w:left w:val="single" w:color="auto" w:sz="4" w:space="0"/>
              <w:bottom w:val="single" w:color="000000" w:sz="6" w:space="0"/>
              <w:right w:val="single" w:color="auto" w:sz="4" w:space="0"/>
            </w:tcBorders>
            <w:noWrap/>
          </w:tcPr>
          <w:p>
            <w:pPr>
              <w:adjustRightInd w:val="0"/>
              <w:snapToGrid w:val="0"/>
              <w:spacing w:line="400" w:lineRule="exact"/>
              <w:textAlignment w:val="center"/>
              <w:rPr>
                <w:rFonts w:ascii="宋体"/>
                <w:bCs/>
                <w:szCs w:val="21"/>
              </w:rPr>
            </w:pPr>
          </w:p>
        </w:tc>
        <w:tc>
          <w:tcPr>
            <w:tcW w:w="1140" w:type="dxa"/>
            <w:tcBorders>
              <w:top w:val="single" w:color="000000" w:sz="6" w:space="0"/>
              <w:left w:val="single" w:color="auto" w:sz="4" w:space="0"/>
              <w:bottom w:val="single" w:color="000000" w:sz="6" w:space="0"/>
              <w:right w:val="single" w:color="000000" w:sz="6" w:space="0"/>
            </w:tcBorders>
            <w:noWrap/>
          </w:tcPr>
          <w:p>
            <w:pPr>
              <w:adjustRightInd w:val="0"/>
              <w:snapToGrid w:val="0"/>
              <w:spacing w:line="400" w:lineRule="exact"/>
              <w:textAlignment w:val="center"/>
              <w:rPr>
                <w:rFonts w:ascii="宋体"/>
                <w:bCs/>
                <w:szCs w:val="21"/>
              </w:rPr>
            </w:pP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400" w:lineRule="exact"/>
              <w:rPr>
                <w:rFonts w:ascii="宋体"/>
                <w:szCs w:val="21"/>
              </w:rPr>
            </w:pPr>
          </w:p>
        </w:tc>
        <w:tc>
          <w:tcPr>
            <w:tcW w:w="705" w:type="dxa"/>
            <w:vMerge w:val="continue"/>
            <w:tcBorders>
              <w:left w:val="single" w:color="auto" w:sz="4" w:space="0"/>
              <w:bottom w:val="single" w:color="auto" w:sz="4" w:space="0"/>
              <w:right w:val="double" w:color="auto" w:sz="4" w:space="0"/>
            </w:tcBorders>
            <w:noWrap/>
            <w:vAlign w:val="center"/>
          </w:tcPr>
          <w:p>
            <w:pPr>
              <w:spacing w:line="400" w:lineRule="exact"/>
              <w:rPr>
                <w:rFonts w:ascii="宋体"/>
                <w:szCs w:val="21"/>
              </w:rPr>
            </w:pPr>
          </w:p>
        </w:tc>
        <w:tc>
          <w:tcPr>
            <w:tcW w:w="1215" w:type="dxa"/>
            <w:vMerge w:val="continue"/>
            <w:tcBorders>
              <w:left w:val="single" w:color="000000" w:sz="6" w:space="0"/>
              <w:bottom w:val="single" w:color="auto" w:sz="4"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1710" w:type="dxa"/>
            <w:gridSpan w:val="2"/>
            <w:tcBorders>
              <w:top w:val="single" w:color="000000" w:sz="6" w:space="0"/>
              <w:left w:val="double" w:color="auto" w:sz="4" w:space="0"/>
              <w:bottom w:val="single" w:color="000000" w:sz="6" w:space="0"/>
              <w:right w:val="double" w:color="auto" w:sz="4" w:space="0"/>
            </w:tcBorders>
            <w:noWrap/>
          </w:tcPr>
          <w:p>
            <w:pPr>
              <w:spacing w:line="400" w:lineRule="exact"/>
              <w:rPr>
                <w:rFonts w:ascii="宋体"/>
                <w:bCs/>
                <w:szCs w:val="21"/>
              </w:rPr>
            </w:pPr>
            <w:r>
              <w:rPr>
                <w:rFonts w:hint="eastAsia" w:ascii="宋体"/>
                <w:bCs/>
                <w:szCs w:val="21"/>
              </w:rPr>
              <w:t>投标总价（小写）：</w:t>
            </w:r>
          </w:p>
        </w:tc>
        <w:tc>
          <w:tcPr>
            <w:tcW w:w="6765" w:type="dxa"/>
            <w:gridSpan w:val="7"/>
            <w:tcBorders>
              <w:top w:val="single" w:color="000000" w:sz="6" w:space="0"/>
              <w:left w:val="double" w:color="auto" w:sz="4" w:space="0"/>
              <w:bottom w:val="single" w:color="000000" w:sz="6" w:space="0"/>
              <w:right w:val="double" w:color="auto" w:sz="4" w:space="0"/>
            </w:tcBorders>
            <w:noWrap/>
            <w:vAlign w:val="center"/>
          </w:tcPr>
          <w:p>
            <w:pPr>
              <w:spacing w:line="400" w:lineRule="exact"/>
              <w:rPr>
                <w:rFonts w:ascii="宋体"/>
                <w:szCs w:val="21"/>
              </w:rPr>
            </w:pPr>
          </w:p>
        </w:tc>
        <w:tc>
          <w:tcPr>
            <w:tcW w:w="1215" w:type="dxa"/>
            <w:tcBorders>
              <w:top w:val="single" w:color="000000" w:sz="6" w:space="0"/>
              <w:left w:val="double" w:color="auto" w:sz="4" w:space="0"/>
              <w:bottom w:val="single" w:color="000000" w:sz="6" w:space="0"/>
              <w:right w:val="double" w:color="auto" w:sz="4" w:space="0"/>
            </w:tcBorders>
            <w:noWrap/>
            <w:vAlign w:val="center"/>
          </w:tcPr>
          <w:p>
            <w:pPr>
              <w:spacing w:line="400" w:lineRule="exac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 w:hRule="atLeast"/>
        </w:trPr>
        <w:tc>
          <w:tcPr>
            <w:tcW w:w="1710" w:type="dxa"/>
            <w:gridSpan w:val="2"/>
            <w:tcBorders>
              <w:top w:val="single" w:color="000000" w:sz="6" w:space="0"/>
              <w:left w:val="double" w:color="auto" w:sz="4" w:space="0"/>
              <w:bottom w:val="double" w:color="auto" w:sz="4" w:space="0"/>
              <w:right w:val="double" w:color="auto" w:sz="4" w:space="0"/>
            </w:tcBorders>
            <w:noWrap/>
          </w:tcPr>
          <w:p>
            <w:pPr>
              <w:spacing w:line="400" w:lineRule="exact"/>
              <w:rPr>
                <w:rFonts w:ascii="宋体"/>
                <w:szCs w:val="21"/>
              </w:rPr>
            </w:pPr>
            <w:r>
              <w:rPr>
                <w:rFonts w:hint="eastAsia" w:ascii="宋体"/>
                <w:szCs w:val="21"/>
              </w:rPr>
              <w:t>投标总价（大写）：</w:t>
            </w:r>
          </w:p>
        </w:tc>
        <w:tc>
          <w:tcPr>
            <w:tcW w:w="6765" w:type="dxa"/>
            <w:gridSpan w:val="7"/>
            <w:tcBorders>
              <w:top w:val="single" w:color="000000" w:sz="6" w:space="0"/>
              <w:left w:val="double" w:color="auto" w:sz="4" w:space="0"/>
              <w:bottom w:val="double" w:color="auto" w:sz="4" w:space="0"/>
              <w:right w:val="double" w:color="auto" w:sz="4" w:space="0"/>
            </w:tcBorders>
            <w:noWrap/>
            <w:vAlign w:val="center"/>
          </w:tcPr>
          <w:p>
            <w:pPr>
              <w:spacing w:line="400" w:lineRule="exact"/>
              <w:rPr>
                <w:rFonts w:ascii="宋体"/>
                <w:szCs w:val="21"/>
              </w:rPr>
            </w:pPr>
          </w:p>
        </w:tc>
        <w:tc>
          <w:tcPr>
            <w:tcW w:w="1215" w:type="dxa"/>
            <w:tcBorders>
              <w:top w:val="single" w:color="000000" w:sz="6" w:space="0"/>
              <w:left w:val="double" w:color="auto" w:sz="4" w:space="0"/>
              <w:bottom w:val="double" w:color="auto" w:sz="4" w:space="0"/>
              <w:right w:val="double" w:color="auto" w:sz="4" w:space="0"/>
            </w:tcBorders>
            <w:noWrap/>
            <w:vAlign w:val="center"/>
          </w:tcPr>
          <w:p>
            <w:pPr>
              <w:spacing w:line="400" w:lineRule="exact"/>
              <w:rPr>
                <w:rFonts w:ascii="宋体"/>
                <w:szCs w:val="21"/>
              </w:rPr>
            </w:pPr>
          </w:p>
        </w:tc>
      </w:tr>
    </w:tbl>
    <w:p>
      <w:pPr>
        <w:pStyle w:val="13"/>
      </w:pPr>
    </w:p>
    <w:p>
      <w:pPr>
        <w:adjustRightInd w:val="0"/>
        <w:snapToGrid w:val="0"/>
        <w:spacing w:before="50" w:line="400" w:lineRule="exact"/>
        <w:rPr>
          <w:rFonts w:ascii="宋体"/>
          <w:szCs w:val="21"/>
        </w:rPr>
      </w:pPr>
      <w:r>
        <w:rPr>
          <w:rFonts w:hint="eastAsia" w:ascii="宋体"/>
          <w:szCs w:val="21"/>
        </w:rPr>
        <w:t>供应商名称（单位章）：</w:t>
      </w:r>
    </w:p>
    <w:p>
      <w:pPr>
        <w:adjustRightInd w:val="0"/>
        <w:snapToGrid w:val="0"/>
        <w:spacing w:before="50" w:line="400" w:lineRule="exact"/>
        <w:rPr>
          <w:rFonts w:ascii="宋体"/>
          <w:szCs w:val="21"/>
        </w:rPr>
      </w:pPr>
      <w:r>
        <w:rPr>
          <w:rFonts w:hint="eastAsia" w:ascii="宋体"/>
          <w:szCs w:val="21"/>
        </w:rPr>
        <w:t>法定代表人或其授权的代理人(签字)：</w:t>
      </w:r>
    </w:p>
    <w:p>
      <w:pPr>
        <w:spacing w:line="400" w:lineRule="exact"/>
      </w:pPr>
      <w:r>
        <w:rPr>
          <w:rFonts w:hint="eastAsia" w:ascii="宋体"/>
          <w:szCs w:val="21"/>
        </w:rPr>
        <w:t>日期：   年   月   日</w:t>
      </w:r>
    </w:p>
    <w:p>
      <w:pPr>
        <w:adjustRightInd w:val="0"/>
        <w:snapToGrid w:val="0"/>
        <w:spacing w:line="400" w:lineRule="exact"/>
        <w:ind w:left="-88" w:leftChars="-42"/>
        <w:rPr>
          <w:rFonts w:ascii="宋体"/>
          <w:szCs w:val="21"/>
        </w:rPr>
      </w:pPr>
      <w:r>
        <w:rPr>
          <w:rFonts w:hint="eastAsia" w:ascii="宋体"/>
          <w:b/>
          <w:szCs w:val="21"/>
        </w:rPr>
        <w:t>备注：</w:t>
      </w:r>
      <w:r>
        <w:rPr>
          <w:rFonts w:hint="eastAsia" w:ascii="宋体"/>
          <w:szCs w:val="21"/>
        </w:rPr>
        <w:t>（1）报价指完成供货、验收合格所需的各种费用及必要的保险费用和各项税金等所有费用的总和。包括但不限于：安装、随机零配件、标配工具、运输保险、质保期服务、各项税费等需要的一切费用及合同实施过程中不可预见费用。</w:t>
      </w:r>
    </w:p>
    <w:p>
      <w:pPr>
        <w:adjustRightInd w:val="0"/>
        <w:snapToGrid w:val="0"/>
        <w:spacing w:line="400" w:lineRule="exact"/>
        <w:ind w:left="-88" w:leftChars="-42"/>
        <w:rPr>
          <w:rFonts w:ascii="宋体"/>
          <w:szCs w:val="21"/>
        </w:rPr>
      </w:pPr>
      <w:r>
        <w:rPr>
          <w:rFonts w:hint="eastAsia" w:ascii="宋体"/>
          <w:szCs w:val="21"/>
        </w:rPr>
        <w:t>（2）单价应包括必不可少的部件、标准备件等费用。</w:t>
      </w:r>
    </w:p>
    <w:p>
      <w:pPr>
        <w:adjustRightInd w:val="0"/>
        <w:snapToGrid w:val="0"/>
        <w:spacing w:line="400" w:lineRule="exact"/>
        <w:ind w:left="-88" w:leftChars="-42"/>
        <w:rPr>
          <w:rFonts w:ascii="宋体"/>
          <w:szCs w:val="21"/>
        </w:rPr>
      </w:pPr>
      <w:r>
        <w:rPr>
          <w:rFonts w:hint="eastAsia" w:ascii="宋体"/>
          <w:szCs w:val="21"/>
        </w:rPr>
        <w:t>（3）如果单价与总价不符时，以单价为准，并修正总价。</w:t>
      </w:r>
    </w:p>
    <w:p>
      <w:pPr>
        <w:adjustRightInd w:val="0"/>
        <w:snapToGrid w:val="0"/>
        <w:spacing w:line="400" w:lineRule="exact"/>
        <w:ind w:left="-88" w:leftChars="-42"/>
        <w:rPr>
          <w:rFonts w:ascii="宋体"/>
          <w:szCs w:val="21"/>
        </w:rPr>
      </w:pPr>
      <w:r>
        <w:rPr>
          <w:rFonts w:hint="eastAsia" w:ascii="宋体"/>
          <w:szCs w:val="21"/>
        </w:rPr>
        <w:t>（4） 表格长度可根据需要自行调整，表中所列内容为必须填写项目，供应商可根据自身情况增加内容。</w:t>
      </w:r>
    </w:p>
    <w:p>
      <w:pPr>
        <w:adjustRightInd w:val="0"/>
        <w:snapToGrid w:val="0"/>
        <w:spacing w:line="400" w:lineRule="exact"/>
        <w:ind w:left="-88" w:leftChars="-42"/>
        <w:rPr>
          <w:rFonts w:ascii="宋体" w:hAnsi="宋体"/>
          <w:sz w:val="36"/>
          <w:szCs w:val="36"/>
        </w:rPr>
      </w:pPr>
      <w:r>
        <w:rPr>
          <w:rFonts w:hint="eastAsia" w:ascii="宋体"/>
          <w:szCs w:val="21"/>
        </w:rPr>
        <w:t>（5）本表可用附表形式把需求一览表中所有产品生产厂商、规格型号、单价等内容进行详细说明。</w:t>
      </w:r>
    </w:p>
    <w:p>
      <w:pPr>
        <w:pStyle w:val="10"/>
      </w:pPr>
    </w:p>
    <w:sectPr>
      <w:headerReference r:id="rId8" w:type="default"/>
      <w:footerReference r:id="rId9" w:type="default"/>
      <w:pgSz w:w="11906" w:h="16838"/>
      <w:pgMar w:top="1418" w:right="1134" w:bottom="1134" w:left="1418" w:header="936" w:footer="720" w:gutter="0"/>
      <w:cols w:space="720" w:num="1"/>
      <w:docGrid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全真簡粗明">
    <w:altName w:val="MingLiU"/>
    <w:panose1 w:val="00000000000000000000"/>
    <w:charset w:val="88"/>
    <w:family w:val="auto"/>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等线 Light">
    <w:altName w:val="宋体"/>
    <w:panose1 w:val="00000000000000000000"/>
    <w:charset w:val="86"/>
    <w:family w:val="auto"/>
    <w:pitch w:val="default"/>
    <w:sig w:usb0="00000000" w:usb1="00000000"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Xt0c0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2Xt0c0BAACnAwAADgAAAAAAAAABACAAAAAeAQAAZHJzL2Uy&#10;b0RvYy54bWxQSwUGAAAAAAYABgBZAQAAXQUAAAAA&#10;">
              <v:fill on="f" focussize="0,0"/>
              <v:stroke on="f"/>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22"/>
      <w:tabs>
        <w:tab w:val="center" w:pos="4497"/>
        <w:tab w:val="clear" w:pos="4153"/>
        <w:tab w:val="clear" w:pos="8306"/>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1"/>
      </w:rPr>
    </w:pPr>
    <w:r>
      <w:fldChar w:fldCharType="begin"/>
    </w:r>
    <w:r>
      <w:rPr>
        <w:rStyle w:val="41"/>
      </w:rPr>
      <w:instrText xml:space="preserve">PAGE  </w:instrText>
    </w:r>
    <w:r>
      <w:fldChar w:fldCharType="separate"/>
    </w:r>
    <w:r>
      <w:rPr>
        <w:rStyle w:val="41"/>
      </w:rPr>
      <w:t>3</w:t>
    </w:r>
    <w:r>
      <w:fldChar w:fldCharType="end"/>
    </w:r>
  </w:p>
  <w:p>
    <w:pPr>
      <w:pStyle w:val="22"/>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3" name="文本框 1026"/>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pPr>
                            <w:pStyle w:val="22"/>
                            <w:rPr>
                              <w:rStyle w:val="41"/>
                            </w:rPr>
                          </w:pPr>
                          <w:r>
                            <w:fldChar w:fldCharType="begin"/>
                          </w:r>
                          <w:r>
                            <w:rPr>
                              <w:rStyle w:val="41"/>
                            </w:rPr>
                            <w:instrText xml:space="preserve">PAGE  </w:instrText>
                          </w:r>
                          <w:r>
                            <w:fldChar w:fldCharType="separate"/>
                          </w:r>
                          <w:r>
                            <w:rPr>
                              <w:rStyle w:val="41"/>
                            </w:rP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bQkGzQAAAAAgEAAA8AAAAAAAAAAQAgAAAAIgAAAGRy&#10;cy9kb3ducmV2LnhtbFBLAQIUABQAAAAIAIdO4kA9ICVg1AEAAKcDAAAOAAAAAAAAAAEAIAAAAB8B&#10;AABkcnMvZTJvRG9jLnhtbFBLBQYAAAAABgAGAFkBAABlBQAAAAA=&#10;">
              <v:fill on="f" focussize="0,0"/>
              <v:stroke on="f"/>
              <v:imagedata o:title=""/>
              <o:lock v:ext="edit" aspectratio="f"/>
              <v:textbox inset="0mm,0mm,0mm,0mm" style="mso-fit-shape-to-text:t;">
                <w:txbxContent>
                  <w:p>
                    <w:pPr>
                      <w:pStyle w:val="22"/>
                      <w:rPr>
                        <w:rStyle w:val="41"/>
                      </w:rPr>
                    </w:pPr>
                    <w:r>
                      <w:fldChar w:fldCharType="begin"/>
                    </w:r>
                    <w:r>
                      <w:rPr>
                        <w:rStyle w:val="41"/>
                      </w:rPr>
                      <w:instrText xml:space="preserve">PAGE  </w:instrText>
                    </w:r>
                    <w:r>
                      <w:fldChar w:fldCharType="separate"/>
                    </w:r>
                    <w:r>
                      <w:rPr>
                        <w:rStyle w:val="41"/>
                      </w:rPr>
                      <w:t>3</w:t>
                    </w:r>
                    <w:r>
                      <w:fldChar w:fldCharType="end"/>
                    </w:r>
                  </w:p>
                </w:txbxContent>
              </v:textbox>
              <w10:wrap type="square"/>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5" name="文本框 1027"/>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a:effectLst/>
                    </wps:spPr>
                    <wps:txbx>
                      <w:txbxContent>
                        <w:p>
                          <w:pPr>
                            <w:pStyle w:val="22"/>
                            <w:rPr>
                              <w:rStyle w:val="41"/>
                              <w:sz w:val="21"/>
                            </w:rPr>
                          </w:pPr>
                          <w:r>
                            <w:rPr>
                              <w:sz w:val="21"/>
                            </w:rPr>
                            <w:fldChar w:fldCharType="begin"/>
                          </w:r>
                          <w:r>
                            <w:rPr>
                              <w:rStyle w:val="41"/>
                              <w:sz w:val="21"/>
                            </w:rPr>
                            <w:instrText xml:space="preserve">PAGE  </w:instrText>
                          </w:r>
                          <w:r>
                            <w:rPr>
                              <w:sz w:val="21"/>
                            </w:rPr>
                            <w:fldChar w:fldCharType="separate"/>
                          </w:r>
                          <w:r>
                            <w:rPr>
                              <w:rStyle w:val="41"/>
                              <w:sz w:val="21"/>
                            </w:rPr>
                            <w:t>3</w:t>
                          </w:r>
                          <w:r>
                            <w:rPr>
                              <w:sz w:val="21"/>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KrLlHPAAAAAwEAAA8AAAAAAAAAAQAgAAAAIgAAAGRy&#10;cy9kb3ducmV2LnhtbFBLAQIUABQAAAAIAIdO4kDp/zYM1QEAAKgDAAAOAAAAAAAAAAEAIAAAAB4B&#10;AABkcnMvZTJvRG9jLnhtbFBLBQYAAAAABgAGAFkBAABlBQAAAAA=&#10;">
              <v:fill on="f" focussize="0,0"/>
              <v:stroke on="f"/>
              <v:imagedata o:title=""/>
              <o:lock v:ext="edit" aspectratio="f"/>
              <v:textbox inset="0mm,0mm,0mm,0mm" style="mso-fit-shape-to-text:t;">
                <w:txbxContent>
                  <w:p>
                    <w:pPr>
                      <w:pStyle w:val="22"/>
                      <w:rPr>
                        <w:rStyle w:val="41"/>
                        <w:sz w:val="21"/>
                      </w:rPr>
                    </w:pPr>
                    <w:r>
                      <w:rPr>
                        <w:sz w:val="21"/>
                      </w:rPr>
                      <w:fldChar w:fldCharType="begin"/>
                    </w:r>
                    <w:r>
                      <w:rPr>
                        <w:rStyle w:val="41"/>
                        <w:sz w:val="21"/>
                      </w:rPr>
                      <w:instrText xml:space="preserve">PAGE  </w:instrText>
                    </w:r>
                    <w:r>
                      <w:rPr>
                        <w:sz w:val="21"/>
                      </w:rPr>
                      <w:fldChar w:fldCharType="separate"/>
                    </w:r>
                    <w:r>
                      <w:rPr>
                        <w:rStyle w:val="41"/>
                        <w:sz w:val="21"/>
                      </w:rPr>
                      <w:t>3</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right="360"/>
                            <w:jc w:val="center"/>
                          </w:pPr>
                          <w:r>
                            <w:fldChar w:fldCharType="begin"/>
                          </w:r>
                          <w:r>
                            <w:rPr>
                              <w:rStyle w:val="41"/>
                              <w:rFonts w:ascii="Times New Roman" w:eastAsia="宋体" w:cs="Times New Roman"/>
                              <w:sz w:val="18"/>
                              <w:szCs w:val="18"/>
                            </w:rPr>
                            <w:instrText xml:space="preserve"> PAGE  \* Arabic  \* MERGEFORMAT </w:instrText>
                          </w:r>
                          <w:r>
                            <w:fldChar w:fldCharType="separate"/>
                          </w:r>
                          <w:r>
                            <w:rPr>
                              <w:rStyle w:val="41"/>
                              <w:rFonts w:ascii="Times New Roman" w:eastAsia="宋体" w:cs="Times New Roman"/>
                              <w:sz w:val="18"/>
                              <w:szCs w:val="18"/>
                            </w:rPr>
                            <w:t>3</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VGc0BAACn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6mS&#10;PL2HGquePdbF4d4NuDRzHDCYWA8ymPRFPgTzKO7pIq4YIuHpUrWqqhJTHHOzg/jFy3UfIL4XzpBk&#10;NDTg62VR2fER4lg6l6Ru1j0orfMLavtXADHHiMgrMN1OTMaJkxWH3TDR27n2hOx6XIOGWtx6SvQH&#10;iyqnjZmNMBu72Tj4oPYdDrrMU4K/O0QcKU+aOoywyDA5+H6Z67RraUH+9HPVy/+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VVGc0BAACnAwAADgAAAAAAAAABACAAAAAeAQAAZHJzL2Uy&#10;b0RvYy54bWxQSwUGAAAAAAYABgBZAQAAXQUAAAAA&#10;">
              <v:fill on="f" focussize="0,0"/>
              <v:stroke on="f"/>
              <v:imagedata o:title=""/>
              <o:lock v:ext="edit" aspectratio="f"/>
              <v:textbox inset="0mm,0mm,0mm,0mm" style="mso-fit-shape-to-text:t;">
                <w:txbxContent>
                  <w:p>
                    <w:pPr>
                      <w:pStyle w:val="22"/>
                      <w:ind w:right="360"/>
                      <w:jc w:val="center"/>
                    </w:pPr>
                    <w:r>
                      <w:fldChar w:fldCharType="begin"/>
                    </w:r>
                    <w:r>
                      <w:rPr>
                        <w:rStyle w:val="41"/>
                        <w:rFonts w:ascii="Times New Roman" w:eastAsia="宋体" w:cs="Times New Roman"/>
                        <w:sz w:val="18"/>
                        <w:szCs w:val="18"/>
                      </w:rPr>
                      <w:instrText xml:space="preserve"> PAGE  \* Arabic  \* MERGEFORMAT </w:instrText>
                    </w:r>
                    <w:r>
                      <w:fldChar w:fldCharType="separate"/>
                    </w:r>
                    <w:r>
                      <w:rPr>
                        <w:rStyle w:val="41"/>
                        <w:rFonts w:ascii="Times New Roman" w:eastAsia="宋体" w:cs="Times New Roman"/>
                        <w:sz w:val="18"/>
                        <w:szCs w:val="18"/>
                      </w:rPr>
                      <w:t>3</w:t>
                    </w:r>
                    <w:r>
                      <w:fldChar w:fldCharType="end"/>
                    </w: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margin">
                <wp:posOffset>0</wp:posOffset>
              </wp:positionH>
              <wp:positionV relativeFrom="paragraph">
                <wp:posOffset>26035</wp:posOffset>
              </wp:positionV>
              <wp:extent cx="140970" cy="220980"/>
              <wp:effectExtent l="0" t="0" r="0" b="0"/>
              <wp:wrapSquare wrapText="bothSides"/>
              <wp:docPr id="8" name="文本框 1028"/>
              <wp:cNvGraphicFramePr/>
              <a:graphic xmlns:a="http://schemas.openxmlformats.org/drawingml/2006/main">
                <a:graphicData uri="http://schemas.microsoft.com/office/word/2010/wordprocessingShape">
                  <wps:wsp>
                    <wps:cNvSpPr txBox="1"/>
                    <wps:spPr>
                      <a:xfrm>
                        <a:off x="0" y="0"/>
                        <a:ext cx="140970" cy="220980"/>
                      </a:xfrm>
                      <a:prstGeom prst="rect">
                        <a:avLst/>
                      </a:prstGeom>
                      <a:noFill/>
                      <a:ln>
                        <a:noFill/>
                      </a:ln>
                      <a:effectLst/>
                    </wps:spPr>
                    <wps:txbx>
                      <w:txbxContent>
                        <w:p>
                          <w:pPr>
                            <w:pStyle w:val="22"/>
                            <w:rPr>
                              <w:rStyle w:val="41"/>
                            </w:rPr>
                          </w:pPr>
                        </w:p>
                      </w:txbxContent>
                    </wps:txbx>
                    <wps:bodyPr lIns="0" tIns="0" rIns="0" bIns="0" upright="1"/>
                  </wps:wsp>
                </a:graphicData>
              </a:graphic>
            </wp:anchor>
          </w:drawing>
        </mc:Choice>
        <mc:Fallback>
          <w:pict>
            <v:shape id="文本框 1028" o:spid="_x0000_s1026" o:spt="202" type="#_x0000_t202" style="position:absolute;left:0pt;margin-left:0pt;margin-top:2.05pt;height:17.4pt;width:11.1pt;mso-position-horizontal-relative:margin;mso-wrap-distance-bottom:0pt;mso-wrap-distance-left:0pt;mso-wrap-distance-right:0pt;mso-wrap-distance-top:0pt;z-index:251663360;mso-width-relative:page;mso-height-relative:page;" filled="f" stroked="f" coordsize="21600,21600" o:gfxdata="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k4N1AAAAAQBAAAPAAAAAAAAAAEAIAAAACIAAABkcnMvZG93bnJldi54bWxQSwEC&#10;FAAUAAAACACHTuJAlDbRur8BAACCAwAADgAAAAAAAAABACAAAAAjAQAAZHJzL2Uyb0RvYy54bWxQ&#10;SwUGAAAAAAYABgBZAQAAVAUAAAAA&#10;">
              <v:fill on="f" focussize="0,0"/>
              <v:stroke on="f"/>
              <v:imagedata o:title=""/>
              <o:lock v:ext="edit" aspectratio="f"/>
              <v:textbox inset="0mm,0mm,0mm,0mm">
                <w:txbxContent>
                  <w:p>
                    <w:pPr>
                      <w:pStyle w:val="22"/>
                      <w:rPr>
                        <w:rStyle w:val="41"/>
                      </w:rPr>
                    </w:pP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10058400</wp:posOffset>
              </wp:positionV>
              <wp:extent cx="313055" cy="1524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313055" cy="152400"/>
                      </a:xfrm>
                      <a:prstGeom prst="rect">
                        <a:avLst/>
                      </a:prstGeom>
                      <a:noFill/>
                      <a:ln>
                        <a:noFill/>
                      </a:ln>
                      <a:effectLst/>
                    </wps:spPr>
                    <wps:txbx>
                      <w:txbxContent>
                        <w:p>
                          <w:r>
                            <w:rPr>
                              <w:b/>
                              <w:sz w:val="18"/>
                            </w:rPr>
                            <w:fldChar w:fldCharType="begin"/>
                          </w:r>
                          <w:r>
                            <w:rPr>
                              <w:b/>
                              <w:sz w:val="18"/>
                            </w:rPr>
                            <w:instrText xml:space="preserve"> PAGE  \* Arabic  \* MERGEFORMAT </w:instrText>
                          </w:r>
                          <w:r>
                            <w:rPr>
                              <w:b/>
                              <w:sz w:val="18"/>
                            </w:rPr>
                            <w:fldChar w:fldCharType="separate"/>
                          </w:r>
                          <w:r>
                            <w:rPr>
                              <w:b/>
                              <w:sz w:val="18"/>
                            </w:rPr>
                            <w:t>50</w:t>
                          </w:r>
                          <w:r>
                            <w:rPr>
                              <w:b/>
                              <w:sz w:val="18"/>
                            </w:rPr>
                            <w:fldChar w:fldCharType="end"/>
                          </w:r>
                        </w:p>
                      </w:txbxContent>
                    </wps:txbx>
                    <wps:bodyPr lIns="0" tIns="0" rIns="0" bIns="0" upright="1"/>
                  </wps:wsp>
                </a:graphicData>
              </a:graphic>
            </wp:anchor>
          </w:drawing>
        </mc:Choice>
        <mc:Fallback>
          <w:pict>
            <v:shape id="文本框 20" o:spid="_x0000_s1026" o:spt="202" type="#_x0000_t202" style="position:absolute;left:0pt;margin-top:792pt;height:12pt;width:24.65pt;mso-position-horizontal:center;mso-position-horizontal-relative:margin;mso-position-vertical-relative:page;z-index:251664384;mso-width-relative:page;mso-height-relative:page;" filled="f" stroked="f" coordsize="21600,21600" o:gfxdata="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4mz9cAAAAJAQAADwAAAAAAAAABACAAAAAiAAAAZHJzL2Rvd25yZXYueG1s&#10;UEsBAhQAFAAAAAgAh07iQG6VMEfAAQAAgAMAAA4AAAAAAAAAAQAgAAAAJgEAAGRycy9lMm9Eb2Mu&#10;eG1sUEsFBgAAAAAGAAYAWQEAAFgFAAAAAA==&#10;">
              <v:fill on="f" focussize="0,0"/>
              <v:stroke on="f"/>
              <v:imagedata o:title=""/>
              <o:lock v:ext="edit" aspectratio="f"/>
              <v:textbox inset="0mm,0mm,0mm,0mm">
                <w:txbxContent>
                  <w:p>
                    <w:r>
                      <w:rPr>
                        <w:b/>
                        <w:sz w:val="18"/>
                      </w:rPr>
                      <w:fldChar w:fldCharType="begin"/>
                    </w:r>
                    <w:r>
                      <w:rPr>
                        <w:b/>
                        <w:sz w:val="18"/>
                      </w:rPr>
                      <w:instrText xml:space="preserve"> PAGE  \* Arabic  \* MERGEFORMAT </w:instrText>
                    </w:r>
                    <w:r>
                      <w:rPr>
                        <w:b/>
                        <w:sz w:val="18"/>
                      </w:rPr>
                      <w:fldChar w:fldCharType="separate"/>
                    </w:r>
                    <w:r>
                      <w:rPr>
                        <w:b/>
                        <w:sz w:val="18"/>
                      </w:rPr>
                      <w:t>50</w:t>
                    </w:r>
                    <w:r>
                      <w:rPr>
                        <w:b/>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6B529"/>
    <w:multiLevelType w:val="singleLevel"/>
    <w:tmpl w:val="87F6B529"/>
    <w:lvl w:ilvl="0" w:tentative="0">
      <w:start w:val="3"/>
      <w:numFmt w:val="decimal"/>
      <w:suff w:val="nothing"/>
      <w:lvlText w:val="（%1）"/>
      <w:lvlJc w:val="left"/>
    </w:lvl>
  </w:abstractNum>
  <w:abstractNum w:abstractNumId="1">
    <w:nsid w:val="BC6B2041"/>
    <w:multiLevelType w:val="singleLevel"/>
    <w:tmpl w:val="BC6B204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NotTrackMoves/>
  <w:documentProtection w:enforcement="0"/>
  <w:defaultTabStop w:val="420"/>
  <w:drawingGridHorizontalSpacing w:val="106"/>
  <w:drawingGridVerticalSpacing w:val="167"/>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78"/>
    <w:rsid w:val="00001002"/>
    <w:rsid w:val="000011CB"/>
    <w:rsid w:val="00001446"/>
    <w:rsid w:val="00003C6A"/>
    <w:rsid w:val="00005B36"/>
    <w:rsid w:val="00005D8D"/>
    <w:rsid w:val="000068D4"/>
    <w:rsid w:val="00006970"/>
    <w:rsid w:val="000079FD"/>
    <w:rsid w:val="00007DAC"/>
    <w:rsid w:val="0001197D"/>
    <w:rsid w:val="00011D87"/>
    <w:rsid w:val="00011EAE"/>
    <w:rsid w:val="0001294D"/>
    <w:rsid w:val="00012BF0"/>
    <w:rsid w:val="00012FDA"/>
    <w:rsid w:val="000132E8"/>
    <w:rsid w:val="000134BF"/>
    <w:rsid w:val="0001363B"/>
    <w:rsid w:val="00014CDE"/>
    <w:rsid w:val="000160BD"/>
    <w:rsid w:val="00016257"/>
    <w:rsid w:val="000209BE"/>
    <w:rsid w:val="00020E3E"/>
    <w:rsid w:val="00020F8F"/>
    <w:rsid w:val="0002152E"/>
    <w:rsid w:val="00021CFE"/>
    <w:rsid w:val="000221CE"/>
    <w:rsid w:val="000223B7"/>
    <w:rsid w:val="00022619"/>
    <w:rsid w:val="00022B2B"/>
    <w:rsid w:val="0002310E"/>
    <w:rsid w:val="000246B1"/>
    <w:rsid w:val="00024C98"/>
    <w:rsid w:val="00024E77"/>
    <w:rsid w:val="000250F8"/>
    <w:rsid w:val="000252EB"/>
    <w:rsid w:val="000258EA"/>
    <w:rsid w:val="00025CA2"/>
    <w:rsid w:val="00026185"/>
    <w:rsid w:val="000265E6"/>
    <w:rsid w:val="00026CE2"/>
    <w:rsid w:val="00026EFC"/>
    <w:rsid w:val="00027AFD"/>
    <w:rsid w:val="00027BB9"/>
    <w:rsid w:val="00027D63"/>
    <w:rsid w:val="0003100E"/>
    <w:rsid w:val="00031272"/>
    <w:rsid w:val="00031CE7"/>
    <w:rsid w:val="00033059"/>
    <w:rsid w:val="00033460"/>
    <w:rsid w:val="000336DE"/>
    <w:rsid w:val="000337E5"/>
    <w:rsid w:val="00033EA3"/>
    <w:rsid w:val="00034D47"/>
    <w:rsid w:val="000358B3"/>
    <w:rsid w:val="00037CCD"/>
    <w:rsid w:val="00041C4C"/>
    <w:rsid w:val="00041E27"/>
    <w:rsid w:val="00043217"/>
    <w:rsid w:val="0004376D"/>
    <w:rsid w:val="000457FF"/>
    <w:rsid w:val="00046621"/>
    <w:rsid w:val="00046678"/>
    <w:rsid w:val="00046D94"/>
    <w:rsid w:val="0005047D"/>
    <w:rsid w:val="00050FC2"/>
    <w:rsid w:val="000523E3"/>
    <w:rsid w:val="00052EFD"/>
    <w:rsid w:val="000532A4"/>
    <w:rsid w:val="00054243"/>
    <w:rsid w:val="0005486C"/>
    <w:rsid w:val="00054CDC"/>
    <w:rsid w:val="0005507C"/>
    <w:rsid w:val="00055350"/>
    <w:rsid w:val="00055435"/>
    <w:rsid w:val="00055938"/>
    <w:rsid w:val="00056FC0"/>
    <w:rsid w:val="00057098"/>
    <w:rsid w:val="0005722C"/>
    <w:rsid w:val="00057CFB"/>
    <w:rsid w:val="000601B7"/>
    <w:rsid w:val="000612E4"/>
    <w:rsid w:val="00061F4A"/>
    <w:rsid w:val="0006202D"/>
    <w:rsid w:val="00062628"/>
    <w:rsid w:val="00062C30"/>
    <w:rsid w:val="000631DC"/>
    <w:rsid w:val="00065E27"/>
    <w:rsid w:val="00066173"/>
    <w:rsid w:val="00066854"/>
    <w:rsid w:val="000669BA"/>
    <w:rsid w:val="00067256"/>
    <w:rsid w:val="00070943"/>
    <w:rsid w:val="000729AE"/>
    <w:rsid w:val="00072B3A"/>
    <w:rsid w:val="000738B1"/>
    <w:rsid w:val="00073A10"/>
    <w:rsid w:val="00074C43"/>
    <w:rsid w:val="00074DDD"/>
    <w:rsid w:val="00076F83"/>
    <w:rsid w:val="00076F91"/>
    <w:rsid w:val="0007779E"/>
    <w:rsid w:val="00077AC3"/>
    <w:rsid w:val="00077ADD"/>
    <w:rsid w:val="00077E9E"/>
    <w:rsid w:val="000809C7"/>
    <w:rsid w:val="000811C1"/>
    <w:rsid w:val="00081D56"/>
    <w:rsid w:val="000829E6"/>
    <w:rsid w:val="00083177"/>
    <w:rsid w:val="00083B30"/>
    <w:rsid w:val="000841A7"/>
    <w:rsid w:val="000849A9"/>
    <w:rsid w:val="00085215"/>
    <w:rsid w:val="000853C9"/>
    <w:rsid w:val="00085B88"/>
    <w:rsid w:val="00085E40"/>
    <w:rsid w:val="00086310"/>
    <w:rsid w:val="0008673E"/>
    <w:rsid w:val="0008714E"/>
    <w:rsid w:val="00087A11"/>
    <w:rsid w:val="00087BE0"/>
    <w:rsid w:val="00087D3B"/>
    <w:rsid w:val="0009112E"/>
    <w:rsid w:val="00092DA2"/>
    <w:rsid w:val="000931CC"/>
    <w:rsid w:val="00095144"/>
    <w:rsid w:val="00095612"/>
    <w:rsid w:val="00095B9D"/>
    <w:rsid w:val="00096411"/>
    <w:rsid w:val="000A00BD"/>
    <w:rsid w:val="000A0317"/>
    <w:rsid w:val="000A0323"/>
    <w:rsid w:val="000A0E3E"/>
    <w:rsid w:val="000A23D4"/>
    <w:rsid w:val="000A27D9"/>
    <w:rsid w:val="000A362B"/>
    <w:rsid w:val="000A3742"/>
    <w:rsid w:val="000A4DD1"/>
    <w:rsid w:val="000A59D0"/>
    <w:rsid w:val="000A7080"/>
    <w:rsid w:val="000A7560"/>
    <w:rsid w:val="000A7740"/>
    <w:rsid w:val="000B0046"/>
    <w:rsid w:val="000B0501"/>
    <w:rsid w:val="000B0ED3"/>
    <w:rsid w:val="000B12FB"/>
    <w:rsid w:val="000B1789"/>
    <w:rsid w:val="000B30D0"/>
    <w:rsid w:val="000B35EC"/>
    <w:rsid w:val="000B6445"/>
    <w:rsid w:val="000B69CB"/>
    <w:rsid w:val="000B69CC"/>
    <w:rsid w:val="000B70F1"/>
    <w:rsid w:val="000C07B2"/>
    <w:rsid w:val="000C161D"/>
    <w:rsid w:val="000C1939"/>
    <w:rsid w:val="000C1A22"/>
    <w:rsid w:val="000C1E74"/>
    <w:rsid w:val="000C20E8"/>
    <w:rsid w:val="000C321A"/>
    <w:rsid w:val="000C347E"/>
    <w:rsid w:val="000C3BBB"/>
    <w:rsid w:val="000C3BBF"/>
    <w:rsid w:val="000C431F"/>
    <w:rsid w:val="000C4415"/>
    <w:rsid w:val="000C44A1"/>
    <w:rsid w:val="000C51BC"/>
    <w:rsid w:val="000C5564"/>
    <w:rsid w:val="000C57AE"/>
    <w:rsid w:val="000C5969"/>
    <w:rsid w:val="000C59A2"/>
    <w:rsid w:val="000C5A62"/>
    <w:rsid w:val="000C708A"/>
    <w:rsid w:val="000D0296"/>
    <w:rsid w:val="000D06C6"/>
    <w:rsid w:val="000D2DE8"/>
    <w:rsid w:val="000D337B"/>
    <w:rsid w:val="000D3C3F"/>
    <w:rsid w:val="000D423F"/>
    <w:rsid w:val="000D426D"/>
    <w:rsid w:val="000D43FD"/>
    <w:rsid w:val="000D452F"/>
    <w:rsid w:val="000D4881"/>
    <w:rsid w:val="000D5253"/>
    <w:rsid w:val="000D5635"/>
    <w:rsid w:val="000D5651"/>
    <w:rsid w:val="000D5B73"/>
    <w:rsid w:val="000D6A7E"/>
    <w:rsid w:val="000D6B16"/>
    <w:rsid w:val="000D6F07"/>
    <w:rsid w:val="000D79ED"/>
    <w:rsid w:val="000E078B"/>
    <w:rsid w:val="000E08AC"/>
    <w:rsid w:val="000E0C51"/>
    <w:rsid w:val="000E1274"/>
    <w:rsid w:val="000E235B"/>
    <w:rsid w:val="000E3C98"/>
    <w:rsid w:val="000E3D15"/>
    <w:rsid w:val="000E3E1E"/>
    <w:rsid w:val="000E4D5C"/>
    <w:rsid w:val="000E5530"/>
    <w:rsid w:val="000E78D0"/>
    <w:rsid w:val="000F0DC5"/>
    <w:rsid w:val="000F150F"/>
    <w:rsid w:val="000F1920"/>
    <w:rsid w:val="000F23ED"/>
    <w:rsid w:val="000F2705"/>
    <w:rsid w:val="000F2A32"/>
    <w:rsid w:val="000F3C0D"/>
    <w:rsid w:val="000F52A2"/>
    <w:rsid w:val="000F52B3"/>
    <w:rsid w:val="000F547C"/>
    <w:rsid w:val="000F5867"/>
    <w:rsid w:val="000F6A09"/>
    <w:rsid w:val="000F79EC"/>
    <w:rsid w:val="000F7E46"/>
    <w:rsid w:val="00101C03"/>
    <w:rsid w:val="00102CF5"/>
    <w:rsid w:val="00103224"/>
    <w:rsid w:val="001042FD"/>
    <w:rsid w:val="00104588"/>
    <w:rsid w:val="00105395"/>
    <w:rsid w:val="001054A2"/>
    <w:rsid w:val="001067D5"/>
    <w:rsid w:val="00107558"/>
    <w:rsid w:val="00107BA2"/>
    <w:rsid w:val="00110158"/>
    <w:rsid w:val="001105E0"/>
    <w:rsid w:val="001108C3"/>
    <w:rsid w:val="0011095B"/>
    <w:rsid w:val="00110AA0"/>
    <w:rsid w:val="00110AB0"/>
    <w:rsid w:val="0011172D"/>
    <w:rsid w:val="00112C34"/>
    <w:rsid w:val="001134FB"/>
    <w:rsid w:val="00113888"/>
    <w:rsid w:val="001144B1"/>
    <w:rsid w:val="001160A3"/>
    <w:rsid w:val="0011633C"/>
    <w:rsid w:val="00121F62"/>
    <w:rsid w:val="00121FC3"/>
    <w:rsid w:val="001220EC"/>
    <w:rsid w:val="001231F7"/>
    <w:rsid w:val="001246FF"/>
    <w:rsid w:val="00125219"/>
    <w:rsid w:val="0012606E"/>
    <w:rsid w:val="001261E8"/>
    <w:rsid w:val="001263AB"/>
    <w:rsid w:val="00126405"/>
    <w:rsid w:val="00126520"/>
    <w:rsid w:val="00127094"/>
    <w:rsid w:val="00130AC9"/>
    <w:rsid w:val="00130EE0"/>
    <w:rsid w:val="0013202C"/>
    <w:rsid w:val="00132D07"/>
    <w:rsid w:val="00134782"/>
    <w:rsid w:val="00134906"/>
    <w:rsid w:val="0013599E"/>
    <w:rsid w:val="00136131"/>
    <w:rsid w:val="00136307"/>
    <w:rsid w:val="00136664"/>
    <w:rsid w:val="001374DB"/>
    <w:rsid w:val="00137AC9"/>
    <w:rsid w:val="00137ADA"/>
    <w:rsid w:val="00141A2E"/>
    <w:rsid w:val="00141CE8"/>
    <w:rsid w:val="001421FB"/>
    <w:rsid w:val="00142CFE"/>
    <w:rsid w:val="0014360B"/>
    <w:rsid w:val="00143B6E"/>
    <w:rsid w:val="00145252"/>
    <w:rsid w:val="00145A44"/>
    <w:rsid w:val="00146080"/>
    <w:rsid w:val="001475CE"/>
    <w:rsid w:val="00147658"/>
    <w:rsid w:val="00152A68"/>
    <w:rsid w:val="00153336"/>
    <w:rsid w:val="0015353E"/>
    <w:rsid w:val="00153D1F"/>
    <w:rsid w:val="00153D81"/>
    <w:rsid w:val="00156D1D"/>
    <w:rsid w:val="001571E7"/>
    <w:rsid w:val="00157A81"/>
    <w:rsid w:val="001611AB"/>
    <w:rsid w:val="00162E7D"/>
    <w:rsid w:val="00162EC2"/>
    <w:rsid w:val="00162FD2"/>
    <w:rsid w:val="00163C40"/>
    <w:rsid w:val="00163DE6"/>
    <w:rsid w:val="00165C13"/>
    <w:rsid w:val="001664C4"/>
    <w:rsid w:val="001667CA"/>
    <w:rsid w:val="00170657"/>
    <w:rsid w:val="00170E3F"/>
    <w:rsid w:val="001733A1"/>
    <w:rsid w:val="0017360D"/>
    <w:rsid w:val="00173A5D"/>
    <w:rsid w:val="00173CF6"/>
    <w:rsid w:val="001748BE"/>
    <w:rsid w:val="00174B44"/>
    <w:rsid w:val="001750C3"/>
    <w:rsid w:val="001756EE"/>
    <w:rsid w:val="00176393"/>
    <w:rsid w:val="00176624"/>
    <w:rsid w:val="001803EF"/>
    <w:rsid w:val="001809F6"/>
    <w:rsid w:val="00181143"/>
    <w:rsid w:val="00181E81"/>
    <w:rsid w:val="00182167"/>
    <w:rsid w:val="001823CB"/>
    <w:rsid w:val="0018303B"/>
    <w:rsid w:val="001838B8"/>
    <w:rsid w:val="00183C2B"/>
    <w:rsid w:val="001840A2"/>
    <w:rsid w:val="001847DE"/>
    <w:rsid w:val="001848F9"/>
    <w:rsid w:val="00185618"/>
    <w:rsid w:val="001862EA"/>
    <w:rsid w:val="00186C38"/>
    <w:rsid w:val="001876E8"/>
    <w:rsid w:val="001902DE"/>
    <w:rsid w:val="00191AA6"/>
    <w:rsid w:val="00191C6A"/>
    <w:rsid w:val="00191D18"/>
    <w:rsid w:val="0019249A"/>
    <w:rsid w:val="00192BD4"/>
    <w:rsid w:val="0019410F"/>
    <w:rsid w:val="0019507D"/>
    <w:rsid w:val="001950CF"/>
    <w:rsid w:val="00196105"/>
    <w:rsid w:val="00196A91"/>
    <w:rsid w:val="00197475"/>
    <w:rsid w:val="001A08A4"/>
    <w:rsid w:val="001A0C3B"/>
    <w:rsid w:val="001A1A2C"/>
    <w:rsid w:val="001A1CAC"/>
    <w:rsid w:val="001A1F37"/>
    <w:rsid w:val="001A3512"/>
    <w:rsid w:val="001A3B0A"/>
    <w:rsid w:val="001A4262"/>
    <w:rsid w:val="001A42D3"/>
    <w:rsid w:val="001A4349"/>
    <w:rsid w:val="001A46B4"/>
    <w:rsid w:val="001A5369"/>
    <w:rsid w:val="001A5623"/>
    <w:rsid w:val="001A5832"/>
    <w:rsid w:val="001A5A84"/>
    <w:rsid w:val="001A62E2"/>
    <w:rsid w:val="001A6B31"/>
    <w:rsid w:val="001B0D5C"/>
    <w:rsid w:val="001B111C"/>
    <w:rsid w:val="001B1579"/>
    <w:rsid w:val="001B1D60"/>
    <w:rsid w:val="001B2FF5"/>
    <w:rsid w:val="001B3852"/>
    <w:rsid w:val="001B38EC"/>
    <w:rsid w:val="001B3B26"/>
    <w:rsid w:val="001B5214"/>
    <w:rsid w:val="001B5E3F"/>
    <w:rsid w:val="001B6246"/>
    <w:rsid w:val="001B669C"/>
    <w:rsid w:val="001B67E5"/>
    <w:rsid w:val="001B6C14"/>
    <w:rsid w:val="001B740E"/>
    <w:rsid w:val="001C091F"/>
    <w:rsid w:val="001C1205"/>
    <w:rsid w:val="001C29B7"/>
    <w:rsid w:val="001C29C4"/>
    <w:rsid w:val="001C2B37"/>
    <w:rsid w:val="001C3049"/>
    <w:rsid w:val="001C58D6"/>
    <w:rsid w:val="001D0917"/>
    <w:rsid w:val="001D0957"/>
    <w:rsid w:val="001D141C"/>
    <w:rsid w:val="001D18F4"/>
    <w:rsid w:val="001D29A6"/>
    <w:rsid w:val="001D3B8F"/>
    <w:rsid w:val="001D41A8"/>
    <w:rsid w:val="001D4448"/>
    <w:rsid w:val="001D4623"/>
    <w:rsid w:val="001D46E2"/>
    <w:rsid w:val="001D4CF9"/>
    <w:rsid w:val="001D5C88"/>
    <w:rsid w:val="001D61C7"/>
    <w:rsid w:val="001D6BFE"/>
    <w:rsid w:val="001D6C24"/>
    <w:rsid w:val="001E0057"/>
    <w:rsid w:val="001E036C"/>
    <w:rsid w:val="001E0DC1"/>
    <w:rsid w:val="001E0E28"/>
    <w:rsid w:val="001E0F7C"/>
    <w:rsid w:val="001E1A28"/>
    <w:rsid w:val="001E1D6E"/>
    <w:rsid w:val="001E2CBF"/>
    <w:rsid w:val="001E3A06"/>
    <w:rsid w:val="001E4875"/>
    <w:rsid w:val="001E54CF"/>
    <w:rsid w:val="001E5606"/>
    <w:rsid w:val="001E5657"/>
    <w:rsid w:val="001E5757"/>
    <w:rsid w:val="001E63BE"/>
    <w:rsid w:val="001E64E2"/>
    <w:rsid w:val="001E6692"/>
    <w:rsid w:val="001E679C"/>
    <w:rsid w:val="001E745C"/>
    <w:rsid w:val="001F1BA4"/>
    <w:rsid w:val="001F27BB"/>
    <w:rsid w:val="001F3114"/>
    <w:rsid w:val="001F341F"/>
    <w:rsid w:val="001F35E0"/>
    <w:rsid w:val="001F387B"/>
    <w:rsid w:val="001F39A8"/>
    <w:rsid w:val="001F4F9C"/>
    <w:rsid w:val="001F507D"/>
    <w:rsid w:val="001F661E"/>
    <w:rsid w:val="001F7686"/>
    <w:rsid w:val="002007E4"/>
    <w:rsid w:val="00200944"/>
    <w:rsid w:val="002009F7"/>
    <w:rsid w:val="0020105C"/>
    <w:rsid w:val="00201342"/>
    <w:rsid w:val="002024EF"/>
    <w:rsid w:val="00204C3C"/>
    <w:rsid w:val="00204E99"/>
    <w:rsid w:val="0020514A"/>
    <w:rsid w:val="00205174"/>
    <w:rsid w:val="002056FB"/>
    <w:rsid w:val="002062C4"/>
    <w:rsid w:val="002077E2"/>
    <w:rsid w:val="00211932"/>
    <w:rsid w:val="002119CD"/>
    <w:rsid w:val="002119D8"/>
    <w:rsid w:val="00211E1F"/>
    <w:rsid w:val="00212194"/>
    <w:rsid w:val="00212823"/>
    <w:rsid w:val="0021292E"/>
    <w:rsid w:val="00212C2D"/>
    <w:rsid w:val="00212D1A"/>
    <w:rsid w:val="00213465"/>
    <w:rsid w:val="002135E9"/>
    <w:rsid w:val="00213C12"/>
    <w:rsid w:val="00213E5F"/>
    <w:rsid w:val="002142AC"/>
    <w:rsid w:val="002146A1"/>
    <w:rsid w:val="00214D73"/>
    <w:rsid w:val="00215A14"/>
    <w:rsid w:val="00215A86"/>
    <w:rsid w:val="002161B3"/>
    <w:rsid w:val="0021661A"/>
    <w:rsid w:val="00217362"/>
    <w:rsid w:val="00217D21"/>
    <w:rsid w:val="002205E2"/>
    <w:rsid w:val="00221043"/>
    <w:rsid w:val="00221ECB"/>
    <w:rsid w:val="00222347"/>
    <w:rsid w:val="00223017"/>
    <w:rsid w:val="0022312C"/>
    <w:rsid w:val="00224F63"/>
    <w:rsid w:val="002250CC"/>
    <w:rsid w:val="002255D9"/>
    <w:rsid w:val="00225707"/>
    <w:rsid w:val="00226161"/>
    <w:rsid w:val="00226C57"/>
    <w:rsid w:val="00226C5A"/>
    <w:rsid w:val="00227870"/>
    <w:rsid w:val="0022794A"/>
    <w:rsid w:val="00227CE9"/>
    <w:rsid w:val="0023054D"/>
    <w:rsid w:val="00230BA4"/>
    <w:rsid w:val="0023125F"/>
    <w:rsid w:val="0023140D"/>
    <w:rsid w:val="00232A61"/>
    <w:rsid w:val="00232B90"/>
    <w:rsid w:val="00233A18"/>
    <w:rsid w:val="00233D0A"/>
    <w:rsid w:val="00233F4B"/>
    <w:rsid w:val="002348E8"/>
    <w:rsid w:val="00235D70"/>
    <w:rsid w:val="002400F7"/>
    <w:rsid w:val="00240D85"/>
    <w:rsid w:val="002417A7"/>
    <w:rsid w:val="00241C6F"/>
    <w:rsid w:val="002430F5"/>
    <w:rsid w:val="00243A1E"/>
    <w:rsid w:val="00243BBE"/>
    <w:rsid w:val="002446AD"/>
    <w:rsid w:val="00245544"/>
    <w:rsid w:val="00246307"/>
    <w:rsid w:val="00246E36"/>
    <w:rsid w:val="0024773C"/>
    <w:rsid w:val="00250746"/>
    <w:rsid w:val="00250986"/>
    <w:rsid w:val="00250E06"/>
    <w:rsid w:val="0025139A"/>
    <w:rsid w:val="00251648"/>
    <w:rsid w:val="00251653"/>
    <w:rsid w:val="002516DB"/>
    <w:rsid w:val="002516EF"/>
    <w:rsid w:val="00253476"/>
    <w:rsid w:val="002537D2"/>
    <w:rsid w:val="00254E78"/>
    <w:rsid w:val="0025547B"/>
    <w:rsid w:val="00255502"/>
    <w:rsid w:val="00255863"/>
    <w:rsid w:val="00255D83"/>
    <w:rsid w:val="00256E3E"/>
    <w:rsid w:val="00257087"/>
    <w:rsid w:val="00257223"/>
    <w:rsid w:val="002579D5"/>
    <w:rsid w:val="00260CA1"/>
    <w:rsid w:val="0026159E"/>
    <w:rsid w:val="00262279"/>
    <w:rsid w:val="00262360"/>
    <w:rsid w:val="00264241"/>
    <w:rsid w:val="00265609"/>
    <w:rsid w:val="0026608E"/>
    <w:rsid w:val="00266B09"/>
    <w:rsid w:val="00267921"/>
    <w:rsid w:val="00267AA2"/>
    <w:rsid w:val="0027004C"/>
    <w:rsid w:val="00270598"/>
    <w:rsid w:val="00271374"/>
    <w:rsid w:val="00271536"/>
    <w:rsid w:val="0027194A"/>
    <w:rsid w:val="00273D09"/>
    <w:rsid w:val="00275831"/>
    <w:rsid w:val="00275CBD"/>
    <w:rsid w:val="00277417"/>
    <w:rsid w:val="00277518"/>
    <w:rsid w:val="00277A19"/>
    <w:rsid w:val="00280BEE"/>
    <w:rsid w:val="002817D0"/>
    <w:rsid w:val="002821F7"/>
    <w:rsid w:val="00282EEF"/>
    <w:rsid w:val="0028418F"/>
    <w:rsid w:val="00284A52"/>
    <w:rsid w:val="00284B1A"/>
    <w:rsid w:val="00285EED"/>
    <w:rsid w:val="00286107"/>
    <w:rsid w:val="002868FB"/>
    <w:rsid w:val="00286C31"/>
    <w:rsid w:val="00286C78"/>
    <w:rsid w:val="00286D32"/>
    <w:rsid w:val="00286E3E"/>
    <w:rsid w:val="00290ACC"/>
    <w:rsid w:val="00290F0D"/>
    <w:rsid w:val="00291691"/>
    <w:rsid w:val="00292690"/>
    <w:rsid w:val="00292A6E"/>
    <w:rsid w:val="00292C4D"/>
    <w:rsid w:val="0029302F"/>
    <w:rsid w:val="00293784"/>
    <w:rsid w:val="00295A0A"/>
    <w:rsid w:val="002961FA"/>
    <w:rsid w:val="00296A5A"/>
    <w:rsid w:val="00297C6A"/>
    <w:rsid w:val="002A2489"/>
    <w:rsid w:val="002A24FD"/>
    <w:rsid w:val="002A3E21"/>
    <w:rsid w:val="002A5174"/>
    <w:rsid w:val="002A5737"/>
    <w:rsid w:val="002A7703"/>
    <w:rsid w:val="002A796E"/>
    <w:rsid w:val="002B1092"/>
    <w:rsid w:val="002B4108"/>
    <w:rsid w:val="002B46E0"/>
    <w:rsid w:val="002B5AE9"/>
    <w:rsid w:val="002B6644"/>
    <w:rsid w:val="002B6CD0"/>
    <w:rsid w:val="002B6D99"/>
    <w:rsid w:val="002B6EA6"/>
    <w:rsid w:val="002B7214"/>
    <w:rsid w:val="002B761E"/>
    <w:rsid w:val="002B79E4"/>
    <w:rsid w:val="002B7E1C"/>
    <w:rsid w:val="002B7FE5"/>
    <w:rsid w:val="002C0127"/>
    <w:rsid w:val="002C0354"/>
    <w:rsid w:val="002C27A5"/>
    <w:rsid w:val="002C28AC"/>
    <w:rsid w:val="002C2A53"/>
    <w:rsid w:val="002C40D5"/>
    <w:rsid w:val="002C4D49"/>
    <w:rsid w:val="002C5EBE"/>
    <w:rsid w:val="002C633E"/>
    <w:rsid w:val="002C6BF9"/>
    <w:rsid w:val="002C6DCE"/>
    <w:rsid w:val="002D095E"/>
    <w:rsid w:val="002D230E"/>
    <w:rsid w:val="002D2421"/>
    <w:rsid w:val="002D3744"/>
    <w:rsid w:val="002D3DA3"/>
    <w:rsid w:val="002D43A9"/>
    <w:rsid w:val="002D4B0B"/>
    <w:rsid w:val="002D5319"/>
    <w:rsid w:val="002D5B9C"/>
    <w:rsid w:val="002D6A1B"/>
    <w:rsid w:val="002D7E30"/>
    <w:rsid w:val="002E0CC8"/>
    <w:rsid w:val="002E0FB5"/>
    <w:rsid w:val="002E11DD"/>
    <w:rsid w:val="002E181E"/>
    <w:rsid w:val="002E1926"/>
    <w:rsid w:val="002E1EEC"/>
    <w:rsid w:val="002E21E7"/>
    <w:rsid w:val="002E24D1"/>
    <w:rsid w:val="002E2B4D"/>
    <w:rsid w:val="002E2CD8"/>
    <w:rsid w:val="002E3385"/>
    <w:rsid w:val="002E386F"/>
    <w:rsid w:val="002E472E"/>
    <w:rsid w:val="002F06E5"/>
    <w:rsid w:val="002F0B1A"/>
    <w:rsid w:val="002F2665"/>
    <w:rsid w:val="002F2A82"/>
    <w:rsid w:val="002F2C81"/>
    <w:rsid w:val="002F444A"/>
    <w:rsid w:val="002F47FA"/>
    <w:rsid w:val="002F4919"/>
    <w:rsid w:val="002F4BED"/>
    <w:rsid w:val="002F604A"/>
    <w:rsid w:val="002F7252"/>
    <w:rsid w:val="002F7659"/>
    <w:rsid w:val="0030003A"/>
    <w:rsid w:val="00300280"/>
    <w:rsid w:val="00301DCA"/>
    <w:rsid w:val="003020BA"/>
    <w:rsid w:val="00303A3C"/>
    <w:rsid w:val="00305863"/>
    <w:rsid w:val="003058AF"/>
    <w:rsid w:val="00305BF4"/>
    <w:rsid w:val="00306182"/>
    <w:rsid w:val="00306F73"/>
    <w:rsid w:val="003070B2"/>
    <w:rsid w:val="003107C1"/>
    <w:rsid w:val="00310986"/>
    <w:rsid w:val="00310DBC"/>
    <w:rsid w:val="003116E9"/>
    <w:rsid w:val="00311958"/>
    <w:rsid w:val="00312849"/>
    <w:rsid w:val="00312C4B"/>
    <w:rsid w:val="00313AE2"/>
    <w:rsid w:val="003141B0"/>
    <w:rsid w:val="003158F2"/>
    <w:rsid w:val="0031611F"/>
    <w:rsid w:val="0031629E"/>
    <w:rsid w:val="003171D9"/>
    <w:rsid w:val="0032100C"/>
    <w:rsid w:val="00321714"/>
    <w:rsid w:val="0032402D"/>
    <w:rsid w:val="0032472C"/>
    <w:rsid w:val="00324CF0"/>
    <w:rsid w:val="00324EF2"/>
    <w:rsid w:val="00325E43"/>
    <w:rsid w:val="00327166"/>
    <w:rsid w:val="00327E81"/>
    <w:rsid w:val="00331A62"/>
    <w:rsid w:val="00331D7E"/>
    <w:rsid w:val="00332A91"/>
    <w:rsid w:val="00332D2F"/>
    <w:rsid w:val="0033329B"/>
    <w:rsid w:val="00334400"/>
    <w:rsid w:val="00334C61"/>
    <w:rsid w:val="00335FC2"/>
    <w:rsid w:val="00336B58"/>
    <w:rsid w:val="0033715E"/>
    <w:rsid w:val="00337317"/>
    <w:rsid w:val="003377E8"/>
    <w:rsid w:val="003378BD"/>
    <w:rsid w:val="003405A5"/>
    <w:rsid w:val="00341169"/>
    <w:rsid w:val="00341B40"/>
    <w:rsid w:val="00342573"/>
    <w:rsid w:val="003434E8"/>
    <w:rsid w:val="00344CF2"/>
    <w:rsid w:val="00344FE6"/>
    <w:rsid w:val="00345CF5"/>
    <w:rsid w:val="00347377"/>
    <w:rsid w:val="0034779B"/>
    <w:rsid w:val="0035080B"/>
    <w:rsid w:val="00350F52"/>
    <w:rsid w:val="003512B5"/>
    <w:rsid w:val="0035204E"/>
    <w:rsid w:val="00352EC9"/>
    <w:rsid w:val="00354189"/>
    <w:rsid w:val="00354E37"/>
    <w:rsid w:val="0035559D"/>
    <w:rsid w:val="00356AC4"/>
    <w:rsid w:val="00357595"/>
    <w:rsid w:val="00357839"/>
    <w:rsid w:val="00357C8A"/>
    <w:rsid w:val="003609AB"/>
    <w:rsid w:val="00360DB8"/>
    <w:rsid w:val="0036266C"/>
    <w:rsid w:val="0036293A"/>
    <w:rsid w:val="003630C3"/>
    <w:rsid w:val="003632AD"/>
    <w:rsid w:val="003637DC"/>
    <w:rsid w:val="00363A81"/>
    <w:rsid w:val="00363F36"/>
    <w:rsid w:val="00364D4B"/>
    <w:rsid w:val="00364E9C"/>
    <w:rsid w:val="003655EC"/>
    <w:rsid w:val="003656D8"/>
    <w:rsid w:val="00366FAE"/>
    <w:rsid w:val="00367982"/>
    <w:rsid w:val="00367B36"/>
    <w:rsid w:val="00367D71"/>
    <w:rsid w:val="00367F6D"/>
    <w:rsid w:val="003709CB"/>
    <w:rsid w:val="0037100C"/>
    <w:rsid w:val="00371886"/>
    <w:rsid w:val="00373483"/>
    <w:rsid w:val="00374583"/>
    <w:rsid w:val="00375D8D"/>
    <w:rsid w:val="00377BA0"/>
    <w:rsid w:val="003800AB"/>
    <w:rsid w:val="00380DFA"/>
    <w:rsid w:val="00382072"/>
    <w:rsid w:val="003822E9"/>
    <w:rsid w:val="00382396"/>
    <w:rsid w:val="00382C13"/>
    <w:rsid w:val="00382CA1"/>
    <w:rsid w:val="003836AA"/>
    <w:rsid w:val="0038422C"/>
    <w:rsid w:val="0038534C"/>
    <w:rsid w:val="00385CE5"/>
    <w:rsid w:val="00385F7D"/>
    <w:rsid w:val="0038607B"/>
    <w:rsid w:val="00387338"/>
    <w:rsid w:val="003875E8"/>
    <w:rsid w:val="003909B5"/>
    <w:rsid w:val="00392A8B"/>
    <w:rsid w:val="00393001"/>
    <w:rsid w:val="00393AD4"/>
    <w:rsid w:val="00393B2B"/>
    <w:rsid w:val="0039445B"/>
    <w:rsid w:val="0039543D"/>
    <w:rsid w:val="00395642"/>
    <w:rsid w:val="003A0E92"/>
    <w:rsid w:val="003A155F"/>
    <w:rsid w:val="003A1921"/>
    <w:rsid w:val="003A2242"/>
    <w:rsid w:val="003A2476"/>
    <w:rsid w:val="003A2B41"/>
    <w:rsid w:val="003A471A"/>
    <w:rsid w:val="003A4A65"/>
    <w:rsid w:val="003A5E5D"/>
    <w:rsid w:val="003A67CA"/>
    <w:rsid w:val="003A67E1"/>
    <w:rsid w:val="003A6C0C"/>
    <w:rsid w:val="003A7C22"/>
    <w:rsid w:val="003A7C60"/>
    <w:rsid w:val="003B2551"/>
    <w:rsid w:val="003B3FB3"/>
    <w:rsid w:val="003B4430"/>
    <w:rsid w:val="003B4760"/>
    <w:rsid w:val="003B4D52"/>
    <w:rsid w:val="003B504F"/>
    <w:rsid w:val="003B5FB2"/>
    <w:rsid w:val="003B6287"/>
    <w:rsid w:val="003B71E3"/>
    <w:rsid w:val="003C0070"/>
    <w:rsid w:val="003C010A"/>
    <w:rsid w:val="003C0F4C"/>
    <w:rsid w:val="003C166F"/>
    <w:rsid w:val="003C178E"/>
    <w:rsid w:val="003C20DA"/>
    <w:rsid w:val="003C2BA7"/>
    <w:rsid w:val="003C33DA"/>
    <w:rsid w:val="003C5188"/>
    <w:rsid w:val="003C5776"/>
    <w:rsid w:val="003C5F6F"/>
    <w:rsid w:val="003C7906"/>
    <w:rsid w:val="003C7EDA"/>
    <w:rsid w:val="003D02F6"/>
    <w:rsid w:val="003D04F7"/>
    <w:rsid w:val="003D06B6"/>
    <w:rsid w:val="003D1EC6"/>
    <w:rsid w:val="003D2109"/>
    <w:rsid w:val="003D2325"/>
    <w:rsid w:val="003D4785"/>
    <w:rsid w:val="003D5559"/>
    <w:rsid w:val="003D76D3"/>
    <w:rsid w:val="003E02AA"/>
    <w:rsid w:val="003E1AE5"/>
    <w:rsid w:val="003E22DA"/>
    <w:rsid w:val="003E35DA"/>
    <w:rsid w:val="003E3B86"/>
    <w:rsid w:val="003E3C8E"/>
    <w:rsid w:val="003E4CE1"/>
    <w:rsid w:val="003E500D"/>
    <w:rsid w:val="003E59E8"/>
    <w:rsid w:val="003E75B0"/>
    <w:rsid w:val="003E7FBE"/>
    <w:rsid w:val="003F02B1"/>
    <w:rsid w:val="003F38A1"/>
    <w:rsid w:val="003F3A54"/>
    <w:rsid w:val="003F480E"/>
    <w:rsid w:val="003F6DF6"/>
    <w:rsid w:val="003F7ED7"/>
    <w:rsid w:val="00400075"/>
    <w:rsid w:val="00400137"/>
    <w:rsid w:val="004017C2"/>
    <w:rsid w:val="00401B28"/>
    <w:rsid w:val="0040247C"/>
    <w:rsid w:val="004028F2"/>
    <w:rsid w:val="00404180"/>
    <w:rsid w:val="004045AA"/>
    <w:rsid w:val="00405888"/>
    <w:rsid w:val="00406396"/>
    <w:rsid w:val="0040645F"/>
    <w:rsid w:val="00406675"/>
    <w:rsid w:val="00406C5F"/>
    <w:rsid w:val="0041098C"/>
    <w:rsid w:val="00411625"/>
    <w:rsid w:val="00412594"/>
    <w:rsid w:val="004130AF"/>
    <w:rsid w:val="00413AD8"/>
    <w:rsid w:val="00413C05"/>
    <w:rsid w:val="004146E4"/>
    <w:rsid w:val="00414BC5"/>
    <w:rsid w:val="0041706F"/>
    <w:rsid w:val="00417802"/>
    <w:rsid w:val="00421232"/>
    <w:rsid w:val="00421249"/>
    <w:rsid w:val="004212ED"/>
    <w:rsid w:val="004218E7"/>
    <w:rsid w:val="00421A1F"/>
    <w:rsid w:val="004223AC"/>
    <w:rsid w:val="004233E9"/>
    <w:rsid w:val="00423405"/>
    <w:rsid w:val="00424369"/>
    <w:rsid w:val="004247B1"/>
    <w:rsid w:val="00425592"/>
    <w:rsid w:val="00425747"/>
    <w:rsid w:val="00426284"/>
    <w:rsid w:val="0042636E"/>
    <w:rsid w:val="004271F8"/>
    <w:rsid w:val="00427DC7"/>
    <w:rsid w:val="00430033"/>
    <w:rsid w:val="004306DE"/>
    <w:rsid w:val="00430A95"/>
    <w:rsid w:val="00430DCA"/>
    <w:rsid w:val="00430EEE"/>
    <w:rsid w:val="004310D0"/>
    <w:rsid w:val="004310D1"/>
    <w:rsid w:val="00432537"/>
    <w:rsid w:val="00432EC8"/>
    <w:rsid w:val="004330AB"/>
    <w:rsid w:val="00434175"/>
    <w:rsid w:val="00434369"/>
    <w:rsid w:val="004359DF"/>
    <w:rsid w:val="00436427"/>
    <w:rsid w:val="0043737F"/>
    <w:rsid w:val="004379F3"/>
    <w:rsid w:val="00440010"/>
    <w:rsid w:val="00440A36"/>
    <w:rsid w:val="00441686"/>
    <w:rsid w:val="00441AE9"/>
    <w:rsid w:val="00443033"/>
    <w:rsid w:val="00443B2D"/>
    <w:rsid w:val="00443BBF"/>
    <w:rsid w:val="00444A27"/>
    <w:rsid w:val="00444D8A"/>
    <w:rsid w:val="00445509"/>
    <w:rsid w:val="00450D9D"/>
    <w:rsid w:val="0045123D"/>
    <w:rsid w:val="0045246D"/>
    <w:rsid w:val="004526BE"/>
    <w:rsid w:val="00452934"/>
    <w:rsid w:val="004539B1"/>
    <w:rsid w:val="00454BD6"/>
    <w:rsid w:val="00454C01"/>
    <w:rsid w:val="004554CD"/>
    <w:rsid w:val="0045767C"/>
    <w:rsid w:val="004579CE"/>
    <w:rsid w:val="00460F3B"/>
    <w:rsid w:val="0046103E"/>
    <w:rsid w:val="00461964"/>
    <w:rsid w:val="0046316D"/>
    <w:rsid w:val="00463E1E"/>
    <w:rsid w:val="004650CE"/>
    <w:rsid w:val="00466B0D"/>
    <w:rsid w:val="004673BF"/>
    <w:rsid w:val="00467DBF"/>
    <w:rsid w:val="00470FC8"/>
    <w:rsid w:val="00471458"/>
    <w:rsid w:val="00472AC4"/>
    <w:rsid w:val="00472E1D"/>
    <w:rsid w:val="00473427"/>
    <w:rsid w:val="00473A8E"/>
    <w:rsid w:val="004747F1"/>
    <w:rsid w:val="00474ACC"/>
    <w:rsid w:val="00474AFE"/>
    <w:rsid w:val="00476064"/>
    <w:rsid w:val="00476AD0"/>
    <w:rsid w:val="004770AE"/>
    <w:rsid w:val="0047762E"/>
    <w:rsid w:val="004801A8"/>
    <w:rsid w:val="00481771"/>
    <w:rsid w:val="00481B2C"/>
    <w:rsid w:val="00482AF2"/>
    <w:rsid w:val="00483F97"/>
    <w:rsid w:val="00485AA2"/>
    <w:rsid w:val="00485AA4"/>
    <w:rsid w:val="00485CBE"/>
    <w:rsid w:val="004860BE"/>
    <w:rsid w:val="004867F7"/>
    <w:rsid w:val="00486C93"/>
    <w:rsid w:val="00486FC6"/>
    <w:rsid w:val="00487274"/>
    <w:rsid w:val="00487B8B"/>
    <w:rsid w:val="00490B4E"/>
    <w:rsid w:val="004911BC"/>
    <w:rsid w:val="0049190A"/>
    <w:rsid w:val="00492841"/>
    <w:rsid w:val="0049295E"/>
    <w:rsid w:val="004938FC"/>
    <w:rsid w:val="00493EB1"/>
    <w:rsid w:val="00494439"/>
    <w:rsid w:val="00494748"/>
    <w:rsid w:val="00494CC3"/>
    <w:rsid w:val="00495381"/>
    <w:rsid w:val="00495EC8"/>
    <w:rsid w:val="0049688C"/>
    <w:rsid w:val="00497E05"/>
    <w:rsid w:val="004A0D3C"/>
    <w:rsid w:val="004A19B9"/>
    <w:rsid w:val="004A21BE"/>
    <w:rsid w:val="004A3C71"/>
    <w:rsid w:val="004A3EA7"/>
    <w:rsid w:val="004A52FC"/>
    <w:rsid w:val="004A64FC"/>
    <w:rsid w:val="004A6E18"/>
    <w:rsid w:val="004A7064"/>
    <w:rsid w:val="004A706F"/>
    <w:rsid w:val="004A74E4"/>
    <w:rsid w:val="004B0BA7"/>
    <w:rsid w:val="004B0FDA"/>
    <w:rsid w:val="004B149F"/>
    <w:rsid w:val="004B15CD"/>
    <w:rsid w:val="004B3894"/>
    <w:rsid w:val="004B3E6F"/>
    <w:rsid w:val="004B4017"/>
    <w:rsid w:val="004B4042"/>
    <w:rsid w:val="004B4266"/>
    <w:rsid w:val="004B5CBA"/>
    <w:rsid w:val="004B684D"/>
    <w:rsid w:val="004B6EA1"/>
    <w:rsid w:val="004B739E"/>
    <w:rsid w:val="004B782A"/>
    <w:rsid w:val="004B7DB6"/>
    <w:rsid w:val="004B7DFC"/>
    <w:rsid w:val="004C0F8A"/>
    <w:rsid w:val="004C102F"/>
    <w:rsid w:val="004C1F1A"/>
    <w:rsid w:val="004C2432"/>
    <w:rsid w:val="004C4680"/>
    <w:rsid w:val="004C73CC"/>
    <w:rsid w:val="004C7C47"/>
    <w:rsid w:val="004C7F21"/>
    <w:rsid w:val="004D02CD"/>
    <w:rsid w:val="004D08E4"/>
    <w:rsid w:val="004D0A63"/>
    <w:rsid w:val="004D0AC3"/>
    <w:rsid w:val="004D0E31"/>
    <w:rsid w:val="004D116E"/>
    <w:rsid w:val="004D169B"/>
    <w:rsid w:val="004D264E"/>
    <w:rsid w:val="004D33B0"/>
    <w:rsid w:val="004D33D1"/>
    <w:rsid w:val="004D3654"/>
    <w:rsid w:val="004D485E"/>
    <w:rsid w:val="004D4E20"/>
    <w:rsid w:val="004D57D7"/>
    <w:rsid w:val="004D7671"/>
    <w:rsid w:val="004E048D"/>
    <w:rsid w:val="004E0B7D"/>
    <w:rsid w:val="004E0BE5"/>
    <w:rsid w:val="004E1489"/>
    <w:rsid w:val="004E158F"/>
    <w:rsid w:val="004E30C7"/>
    <w:rsid w:val="004E333F"/>
    <w:rsid w:val="004E349D"/>
    <w:rsid w:val="004E36D7"/>
    <w:rsid w:val="004E3797"/>
    <w:rsid w:val="004E509A"/>
    <w:rsid w:val="004E5864"/>
    <w:rsid w:val="004E586F"/>
    <w:rsid w:val="004E5CC9"/>
    <w:rsid w:val="004E5E9D"/>
    <w:rsid w:val="004E60F5"/>
    <w:rsid w:val="004E6A28"/>
    <w:rsid w:val="004E6F35"/>
    <w:rsid w:val="004E704B"/>
    <w:rsid w:val="004E7D25"/>
    <w:rsid w:val="004F1C64"/>
    <w:rsid w:val="004F2643"/>
    <w:rsid w:val="004F383A"/>
    <w:rsid w:val="004F384D"/>
    <w:rsid w:val="004F386F"/>
    <w:rsid w:val="004F5675"/>
    <w:rsid w:val="004F618D"/>
    <w:rsid w:val="00500609"/>
    <w:rsid w:val="00500ED6"/>
    <w:rsid w:val="00500F13"/>
    <w:rsid w:val="0050156A"/>
    <w:rsid w:val="0050185A"/>
    <w:rsid w:val="00501CDC"/>
    <w:rsid w:val="00502CF6"/>
    <w:rsid w:val="00502F86"/>
    <w:rsid w:val="005030D9"/>
    <w:rsid w:val="005035DA"/>
    <w:rsid w:val="00504ACD"/>
    <w:rsid w:val="00504D39"/>
    <w:rsid w:val="00505843"/>
    <w:rsid w:val="00506299"/>
    <w:rsid w:val="00506A96"/>
    <w:rsid w:val="00507B91"/>
    <w:rsid w:val="005103B3"/>
    <w:rsid w:val="00510B42"/>
    <w:rsid w:val="00511F4E"/>
    <w:rsid w:val="005124C8"/>
    <w:rsid w:val="005130CC"/>
    <w:rsid w:val="00513F29"/>
    <w:rsid w:val="005159A9"/>
    <w:rsid w:val="00516590"/>
    <w:rsid w:val="00516958"/>
    <w:rsid w:val="005172D6"/>
    <w:rsid w:val="00517EC0"/>
    <w:rsid w:val="00520403"/>
    <w:rsid w:val="00522CC4"/>
    <w:rsid w:val="00522E96"/>
    <w:rsid w:val="005233A2"/>
    <w:rsid w:val="005235FC"/>
    <w:rsid w:val="00524807"/>
    <w:rsid w:val="00524F61"/>
    <w:rsid w:val="0052536F"/>
    <w:rsid w:val="005258C9"/>
    <w:rsid w:val="00525DA2"/>
    <w:rsid w:val="005267C0"/>
    <w:rsid w:val="00526A15"/>
    <w:rsid w:val="00527634"/>
    <w:rsid w:val="005304D1"/>
    <w:rsid w:val="00532A7D"/>
    <w:rsid w:val="00533816"/>
    <w:rsid w:val="00533B42"/>
    <w:rsid w:val="00533BDE"/>
    <w:rsid w:val="00533C99"/>
    <w:rsid w:val="00533CC5"/>
    <w:rsid w:val="00534A75"/>
    <w:rsid w:val="00534ABD"/>
    <w:rsid w:val="00535319"/>
    <w:rsid w:val="00535A4C"/>
    <w:rsid w:val="00535AB0"/>
    <w:rsid w:val="005368B6"/>
    <w:rsid w:val="00536CFF"/>
    <w:rsid w:val="00541DD0"/>
    <w:rsid w:val="00542568"/>
    <w:rsid w:val="00542D9C"/>
    <w:rsid w:val="00542DD5"/>
    <w:rsid w:val="005435EA"/>
    <w:rsid w:val="00543E2E"/>
    <w:rsid w:val="0054489A"/>
    <w:rsid w:val="00544F73"/>
    <w:rsid w:val="0054518D"/>
    <w:rsid w:val="00545D63"/>
    <w:rsid w:val="00546936"/>
    <w:rsid w:val="00546CD1"/>
    <w:rsid w:val="00546E3E"/>
    <w:rsid w:val="0054747E"/>
    <w:rsid w:val="00547C38"/>
    <w:rsid w:val="00547E6B"/>
    <w:rsid w:val="005515AB"/>
    <w:rsid w:val="00551E7F"/>
    <w:rsid w:val="00552531"/>
    <w:rsid w:val="005529EB"/>
    <w:rsid w:val="00552A60"/>
    <w:rsid w:val="005539DE"/>
    <w:rsid w:val="00553ABB"/>
    <w:rsid w:val="00553C0C"/>
    <w:rsid w:val="00553E65"/>
    <w:rsid w:val="0055479D"/>
    <w:rsid w:val="00554891"/>
    <w:rsid w:val="005554C0"/>
    <w:rsid w:val="005557AC"/>
    <w:rsid w:val="00555D15"/>
    <w:rsid w:val="00556B06"/>
    <w:rsid w:val="00556BD4"/>
    <w:rsid w:val="005572AB"/>
    <w:rsid w:val="00557D9B"/>
    <w:rsid w:val="00560C0A"/>
    <w:rsid w:val="00560D7A"/>
    <w:rsid w:val="00562426"/>
    <w:rsid w:val="00563390"/>
    <w:rsid w:val="00563799"/>
    <w:rsid w:val="00563988"/>
    <w:rsid w:val="005643C8"/>
    <w:rsid w:val="00564A4D"/>
    <w:rsid w:val="005657BE"/>
    <w:rsid w:val="005661C6"/>
    <w:rsid w:val="0056764B"/>
    <w:rsid w:val="00570929"/>
    <w:rsid w:val="00571921"/>
    <w:rsid w:val="005722E9"/>
    <w:rsid w:val="0057233F"/>
    <w:rsid w:val="00572C41"/>
    <w:rsid w:val="0057398A"/>
    <w:rsid w:val="00574D1E"/>
    <w:rsid w:val="00576199"/>
    <w:rsid w:val="0057621C"/>
    <w:rsid w:val="0057648F"/>
    <w:rsid w:val="00576DBE"/>
    <w:rsid w:val="00577154"/>
    <w:rsid w:val="00577264"/>
    <w:rsid w:val="00577932"/>
    <w:rsid w:val="0058055B"/>
    <w:rsid w:val="00580906"/>
    <w:rsid w:val="00581028"/>
    <w:rsid w:val="00581F00"/>
    <w:rsid w:val="0058209C"/>
    <w:rsid w:val="00582A50"/>
    <w:rsid w:val="00582D20"/>
    <w:rsid w:val="00583188"/>
    <w:rsid w:val="0058373B"/>
    <w:rsid w:val="00583E4E"/>
    <w:rsid w:val="00584A0E"/>
    <w:rsid w:val="00584EE3"/>
    <w:rsid w:val="00587745"/>
    <w:rsid w:val="005900C2"/>
    <w:rsid w:val="005907C7"/>
    <w:rsid w:val="005908AC"/>
    <w:rsid w:val="0059241A"/>
    <w:rsid w:val="00593150"/>
    <w:rsid w:val="00593E6B"/>
    <w:rsid w:val="00594059"/>
    <w:rsid w:val="00594107"/>
    <w:rsid w:val="005947B4"/>
    <w:rsid w:val="005956BE"/>
    <w:rsid w:val="0059589B"/>
    <w:rsid w:val="00595DC6"/>
    <w:rsid w:val="005972BA"/>
    <w:rsid w:val="0059779E"/>
    <w:rsid w:val="005A0434"/>
    <w:rsid w:val="005A0634"/>
    <w:rsid w:val="005A124F"/>
    <w:rsid w:val="005A2F8B"/>
    <w:rsid w:val="005A4777"/>
    <w:rsid w:val="005A5F7F"/>
    <w:rsid w:val="005A6355"/>
    <w:rsid w:val="005A6D52"/>
    <w:rsid w:val="005A6DD7"/>
    <w:rsid w:val="005A71CD"/>
    <w:rsid w:val="005A77BB"/>
    <w:rsid w:val="005A7812"/>
    <w:rsid w:val="005A7E3E"/>
    <w:rsid w:val="005B015E"/>
    <w:rsid w:val="005B1BBD"/>
    <w:rsid w:val="005B26BD"/>
    <w:rsid w:val="005B2E34"/>
    <w:rsid w:val="005B3831"/>
    <w:rsid w:val="005B4470"/>
    <w:rsid w:val="005B4BD8"/>
    <w:rsid w:val="005B4CCB"/>
    <w:rsid w:val="005B4D2A"/>
    <w:rsid w:val="005B521E"/>
    <w:rsid w:val="005B5285"/>
    <w:rsid w:val="005B5501"/>
    <w:rsid w:val="005B6E89"/>
    <w:rsid w:val="005B7B2E"/>
    <w:rsid w:val="005C0518"/>
    <w:rsid w:val="005C0FB8"/>
    <w:rsid w:val="005C1E0E"/>
    <w:rsid w:val="005C2FDF"/>
    <w:rsid w:val="005C333C"/>
    <w:rsid w:val="005C3393"/>
    <w:rsid w:val="005C36FD"/>
    <w:rsid w:val="005C3D02"/>
    <w:rsid w:val="005C4DC9"/>
    <w:rsid w:val="005C4F06"/>
    <w:rsid w:val="005C512E"/>
    <w:rsid w:val="005C5837"/>
    <w:rsid w:val="005C5E69"/>
    <w:rsid w:val="005C6EA1"/>
    <w:rsid w:val="005C70C8"/>
    <w:rsid w:val="005C7309"/>
    <w:rsid w:val="005C7500"/>
    <w:rsid w:val="005C7A9E"/>
    <w:rsid w:val="005D1C14"/>
    <w:rsid w:val="005D1C31"/>
    <w:rsid w:val="005D1C37"/>
    <w:rsid w:val="005D2DAC"/>
    <w:rsid w:val="005D30F5"/>
    <w:rsid w:val="005D32CA"/>
    <w:rsid w:val="005D4980"/>
    <w:rsid w:val="005D6383"/>
    <w:rsid w:val="005E0A2F"/>
    <w:rsid w:val="005E1063"/>
    <w:rsid w:val="005E14D1"/>
    <w:rsid w:val="005E1BB5"/>
    <w:rsid w:val="005E211F"/>
    <w:rsid w:val="005E256E"/>
    <w:rsid w:val="005E30D8"/>
    <w:rsid w:val="005E4644"/>
    <w:rsid w:val="005E5B81"/>
    <w:rsid w:val="005E602C"/>
    <w:rsid w:val="005E6A1E"/>
    <w:rsid w:val="005F1537"/>
    <w:rsid w:val="005F1548"/>
    <w:rsid w:val="005F15DE"/>
    <w:rsid w:val="005F1884"/>
    <w:rsid w:val="005F1DA6"/>
    <w:rsid w:val="005F206F"/>
    <w:rsid w:val="005F2603"/>
    <w:rsid w:val="005F2C58"/>
    <w:rsid w:val="005F3B56"/>
    <w:rsid w:val="005F5854"/>
    <w:rsid w:val="005F63A0"/>
    <w:rsid w:val="005F662F"/>
    <w:rsid w:val="005F779C"/>
    <w:rsid w:val="006004D0"/>
    <w:rsid w:val="006015BF"/>
    <w:rsid w:val="006019FF"/>
    <w:rsid w:val="00601ABA"/>
    <w:rsid w:val="006032D9"/>
    <w:rsid w:val="00604689"/>
    <w:rsid w:val="00605CA9"/>
    <w:rsid w:val="00606032"/>
    <w:rsid w:val="0060787D"/>
    <w:rsid w:val="00607905"/>
    <w:rsid w:val="00611686"/>
    <w:rsid w:val="00612DB2"/>
    <w:rsid w:val="00613353"/>
    <w:rsid w:val="00613A37"/>
    <w:rsid w:val="00613E6E"/>
    <w:rsid w:val="00614714"/>
    <w:rsid w:val="006147DE"/>
    <w:rsid w:val="006210BA"/>
    <w:rsid w:val="006216D2"/>
    <w:rsid w:val="00621997"/>
    <w:rsid w:val="00621DCD"/>
    <w:rsid w:val="00623A73"/>
    <w:rsid w:val="00623EAE"/>
    <w:rsid w:val="0062400A"/>
    <w:rsid w:val="006242F6"/>
    <w:rsid w:val="0062658A"/>
    <w:rsid w:val="006267E8"/>
    <w:rsid w:val="006274AB"/>
    <w:rsid w:val="00627981"/>
    <w:rsid w:val="00627CEB"/>
    <w:rsid w:val="00630593"/>
    <w:rsid w:val="00630CF4"/>
    <w:rsid w:val="00631143"/>
    <w:rsid w:val="00631599"/>
    <w:rsid w:val="006319CB"/>
    <w:rsid w:val="006324D4"/>
    <w:rsid w:val="006324E7"/>
    <w:rsid w:val="00632AB7"/>
    <w:rsid w:val="00633F49"/>
    <w:rsid w:val="0063406B"/>
    <w:rsid w:val="006347EE"/>
    <w:rsid w:val="00634866"/>
    <w:rsid w:val="006350AC"/>
    <w:rsid w:val="00635376"/>
    <w:rsid w:val="00635C8A"/>
    <w:rsid w:val="006366E3"/>
    <w:rsid w:val="00636857"/>
    <w:rsid w:val="00637AA4"/>
    <w:rsid w:val="00640369"/>
    <w:rsid w:val="006409C3"/>
    <w:rsid w:val="00640D4E"/>
    <w:rsid w:val="00640F17"/>
    <w:rsid w:val="00641716"/>
    <w:rsid w:val="006422CE"/>
    <w:rsid w:val="00643E9B"/>
    <w:rsid w:val="00644D3C"/>
    <w:rsid w:val="00644EB9"/>
    <w:rsid w:val="00645093"/>
    <w:rsid w:val="006474A2"/>
    <w:rsid w:val="00647524"/>
    <w:rsid w:val="00647E18"/>
    <w:rsid w:val="00647E87"/>
    <w:rsid w:val="00647E8F"/>
    <w:rsid w:val="00651655"/>
    <w:rsid w:val="006520C5"/>
    <w:rsid w:val="006545EE"/>
    <w:rsid w:val="00655CE2"/>
    <w:rsid w:val="006566D6"/>
    <w:rsid w:val="0065712A"/>
    <w:rsid w:val="00657D0F"/>
    <w:rsid w:val="006606BF"/>
    <w:rsid w:val="0066152A"/>
    <w:rsid w:val="0066363F"/>
    <w:rsid w:val="006642B4"/>
    <w:rsid w:val="006651E4"/>
    <w:rsid w:val="006655E0"/>
    <w:rsid w:val="00665921"/>
    <w:rsid w:val="00665D5E"/>
    <w:rsid w:val="00665F7B"/>
    <w:rsid w:val="00667CF8"/>
    <w:rsid w:val="00667FA9"/>
    <w:rsid w:val="00671D21"/>
    <w:rsid w:val="006724FA"/>
    <w:rsid w:val="00672903"/>
    <w:rsid w:val="0067299F"/>
    <w:rsid w:val="0067357A"/>
    <w:rsid w:val="00673A72"/>
    <w:rsid w:val="00673D89"/>
    <w:rsid w:val="006745C1"/>
    <w:rsid w:val="00674C1B"/>
    <w:rsid w:val="00675704"/>
    <w:rsid w:val="006759E4"/>
    <w:rsid w:val="00675D2A"/>
    <w:rsid w:val="00676009"/>
    <w:rsid w:val="00676746"/>
    <w:rsid w:val="00680FE6"/>
    <w:rsid w:val="00682EE2"/>
    <w:rsid w:val="0068353D"/>
    <w:rsid w:val="0068443E"/>
    <w:rsid w:val="006851E1"/>
    <w:rsid w:val="0068535C"/>
    <w:rsid w:val="00685CF5"/>
    <w:rsid w:val="00685D16"/>
    <w:rsid w:val="006868AB"/>
    <w:rsid w:val="0068714F"/>
    <w:rsid w:val="006902B7"/>
    <w:rsid w:val="0069201B"/>
    <w:rsid w:val="00692116"/>
    <w:rsid w:val="006926A3"/>
    <w:rsid w:val="00692AE1"/>
    <w:rsid w:val="00692DD1"/>
    <w:rsid w:val="0069480F"/>
    <w:rsid w:val="00694B0C"/>
    <w:rsid w:val="00695EEF"/>
    <w:rsid w:val="00697004"/>
    <w:rsid w:val="00697632"/>
    <w:rsid w:val="006978DF"/>
    <w:rsid w:val="00697A96"/>
    <w:rsid w:val="006A2E56"/>
    <w:rsid w:val="006A30AD"/>
    <w:rsid w:val="006A5192"/>
    <w:rsid w:val="006A5544"/>
    <w:rsid w:val="006A56A2"/>
    <w:rsid w:val="006A56C3"/>
    <w:rsid w:val="006A5962"/>
    <w:rsid w:val="006A5C30"/>
    <w:rsid w:val="006A64AF"/>
    <w:rsid w:val="006A665F"/>
    <w:rsid w:val="006A6B42"/>
    <w:rsid w:val="006A70E9"/>
    <w:rsid w:val="006B1465"/>
    <w:rsid w:val="006B1AF3"/>
    <w:rsid w:val="006B1C8C"/>
    <w:rsid w:val="006B2445"/>
    <w:rsid w:val="006B332E"/>
    <w:rsid w:val="006B39A3"/>
    <w:rsid w:val="006B428E"/>
    <w:rsid w:val="006B7C2E"/>
    <w:rsid w:val="006C03A8"/>
    <w:rsid w:val="006C14BC"/>
    <w:rsid w:val="006C204A"/>
    <w:rsid w:val="006C20B6"/>
    <w:rsid w:val="006C233D"/>
    <w:rsid w:val="006C335E"/>
    <w:rsid w:val="006C3FEF"/>
    <w:rsid w:val="006C4CAE"/>
    <w:rsid w:val="006C637A"/>
    <w:rsid w:val="006C672E"/>
    <w:rsid w:val="006C6C09"/>
    <w:rsid w:val="006C6D5F"/>
    <w:rsid w:val="006D0195"/>
    <w:rsid w:val="006D0513"/>
    <w:rsid w:val="006D1943"/>
    <w:rsid w:val="006D23C6"/>
    <w:rsid w:val="006D249A"/>
    <w:rsid w:val="006D29CE"/>
    <w:rsid w:val="006D2DF3"/>
    <w:rsid w:val="006D2FC4"/>
    <w:rsid w:val="006D36AB"/>
    <w:rsid w:val="006D5592"/>
    <w:rsid w:val="006D57DC"/>
    <w:rsid w:val="006D583C"/>
    <w:rsid w:val="006D5CC3"/>
    <w:rsid w:val="006D5E9A"/>
    <w:rsid w:val="006D659F"/>
    <w:rsid w:val="006D6F1E"/>
    <w:rsid w:val="006D77FC"/>
    <w:rsid w:val="006E05B0"/>
    <w:rsid w:val="006E109F"/>
    <w:rsid w:val="006E33FA"/>
    <w:rsid w:val="006E43A5"/>
    <w:rsid w:val="006E46F6"/>
    <w:rsid w:val="006E4E32"/>
    <w:rsid w:val="006E4F0B"/>
    <w:rsid w:val="006E50ED"/>
    <w:rsid w:val="006E5600"/>
    <w:rsid w:val="006E73E5"/>
    <w:rsid w:val="006E7C06"/>
    <w:rsid w:val="006F05C6"/>
    <w:rsid w:val="006F0645"/>
    <w:rsid w:val="006F4374"/>
    <w:rsid w:val="006F6CCF"/>
    <w:rsid w:val="006F70C0"/>
    <w:rsid w:val="00701314"/>
    <w:rsid w:val="00703F3C"/>
    <w:rsid w:val="007045FB"/>
    <w:rsid w:val="0070490B"/>
    <w:rsid w:val="00704D2E"/>
    <w:rsid w:val="00704FBD"/>
    <w:rsid w:val="00705A46"/>
    <w:rsid w:val="00705AAA"/>
    <w:rsid w:val="00705E0B"/>
    <w:rsid w:val="00705E2D"/>
    <w:rsid w:val="00705E48"/>
    <w:rsid w:val="00706193"/>
    <w:rsid w:val="0070677D"/>
    <w:rsid w:val="00706F1D"/>
    <w:rsid w:val="007077D5"/>
    <w:rsid w:val="00707E06"/>
    <w:rsid w:val="00710D83"/>
    <w:rsid w:val="00711445"/>
    <w:rsid w:val="00712188"/>
    <w:rsid w:val="00712BA0"/>
    <w:rsid w:val="00712F45"/>
    <w:rsid w:val="00715FD2"/>
    <w:rsid w:val="00717B30"/>
    <w:rsid w:val="0072097A"/>
    <w:rsid w:val="00720A95"/>
    <w:rsid w:val="00721958"/>
    <w:rsid w:val="007222A3"/>
    <w:rsid w:val="00722AA1"/>
    <w:rsid w:val="00723FF1"/>
    <w:rsid w:val="007243AC"/>
    <w:rsid w:val="007259C3"/>
    <w:rsid w:val="00725E51"/>
    <w:rsid w:val="007262E4"/>
    <w:rsid w:val="00726456"/>
    <w:rsid w:val="007303FA"/>
    <w:rsid w:val="007305D0"/>
    <w:rsid w:val="00730E8E"/>
    <w:rsid w:val="0073138F"/>
    <w:rsid w:val="007334C3"/>
    <w:rsid w:val="0073393F"/>
    <w:rsid w:val="00735469"/>
    <w:rsid w:val="00735824"/>
    <w:rsid w:val="0073596F"/>
    <w:rsid w:val="007404B5"/>
    <w:rsid w:val="007404DF"/>
    <w:rsid w:val="00740DD2"/>
    <w:rsid w:val="0074156C"/>
    <w:rsid w:val="00741D19"/>
    <w:rsid w:val="00743879"/>
    <w:rsid w:val="00744E8F"/>
    <w:rsid w:val="0074510E"/>
    <w:rsid w:val="00745636"/>
    <w:rsid w:val="00745CF3"/>
    <w:rsid w:val="00746666"/>
    <w:rsid w:val="00746B1A"/>
    <w:rsid w:val="00747E1C"/>
    <w:rsid w:val="00750CE0"/>
    <w:rsid w:val="00750ED3"/>
    <w:rsid w:val="00751277"/>
    <w:rsid w:val="0075161E"/>
    <w:rsid w:val="00751707"/>
    <w:rsid w:val="00752069"/>
    <w:rsid w:val="007530D6"/>
    <w:rsid w:val="00753C97"/>
    <w:rsid w:val="00753EE7"/>
    <w:rsid w:val="0075440C"/>
    <w:rsid w:val="00754DC3"/>
    <w:rsid w:val="00755E3C"/>
    <w:rsid w:val="00755F33"/>
    <w:rsid w:val="007572B4"/>
    <w:rsid w:val="007603D8"/>
    <w:rsid w:val="00760C3F"/>
    <w:rsid w:val="00760E74"/>
    <w:rsid w:val="007617B0"/>
    <w:rsid w:val="007626F9"/>
    <w:rsid w:val="00762808"/>
    <w:rsid w:val="00762D25"/>
    <w:rsid w:val="00762FD3"/>
    <w:rsid w:val="00763E98"/>
    <w:rsid w:val="00763EEC"/>
    <w:rsid w:val="007642ED"/>
    <w:rsid w:val="007646E0"/>
    <w:rsid w:val="00765531"/>
    <w:rsid w:val="00765875"/>
    <w:rsid w:val="00765D10"/>
    <w:rsid w:val="00766DDC"/>
    <w:rsid w:val="00766E84"/>
    <w:rsid w:val="00770115"/>
    <w:rsid w:val="00770768"/>
    <w:rsid w:val="00770A30"/>
    <w:rsid w:val="00772CEF"/>
    <w:rsid w:val="007737C1"/>
    <w:rsid w:val="0077418E"/>
    <w:rsid w:val="00774B3F"/>
    <w:rsid w:val="00775727"/>
    <w:rsid w:val="00776002"/>
    <w:rsid w:val="00776B09"/>
    <w:rsid w:val="00776EC1"/>
    <w:rsid w:val="00780473"/>
    <w:rsid w:val="007805AF"/>
    <w:rsid w:val="0078095B"/>
    <w:rsid w:val="0078205F"/>
    <w:rsid w:val="00783943"/>
    <w:rsid w:val="0078469E"/>
    <w:rsid w:val="00784B03"/>
    <w:rsid w:val="00784F0E"/>
    <w:rsid w:val="00785A0B"/>
    <w:rsid w:val="0078648B"/>
    <w:rsid w:val="00790543"/>
    <w:rsid w:val="00790E95"/>
    <w:rsid w:val="007926C1"/>
    <w:rsid w:val="0079281F"/>
    <w:rsid w:val="00792DAF"/>
    <w:rsid w:val="00793F24"/>
    <w:rsid w:val="00794055"/>
    <w:rsid w:val="0079624B"/>
    <w:rsid w:val="00797894"/>
    <w:rsid w:val="007A00AD"/>
    <w:rsid w:val="007A0B38"/>
    <w:rsid w:val="007A1ADE"/>
    <w:rsid w:val="007A2513"/>
    <w:rsid w:val="007A2726"/>
    <w:rsid w:val="007A502A"/>
    <w:rsid w:val="007A554E"/>
    <w:rsid w:val="007A64C1"/>
    <w:rsid w:val="007A6954"/>
    <w:rsid w:val="007A6AD5"/>
    <w:rsid w:val="007A6DBD"/>
    <w:rsid w:val="007A7B1C"/>
    <w:rsid w:val="007B0D19"/>
    <w:rsid w:val="007B3B42"/>
    <w:rsid w:val="007B4124"/>
    <w:rsid w:val="007B4DEB"/>
    <w:rsid w:val="007B69F6"/>
    <w:rsid w:val="007B739E"/>
    <w:rsid w:val="007C1042"/>
    <w:rsid w:val="007C19AF"/>
    <w:rsid w:val="007C1D33"/>
    <w:rsid w:val="007C2B61"/>
    <w:rsid w:val="007C57D1"/>
    <w:rsid w:val="007C5979"/>
    <w:rsid w:val="007C6BF2"/>
    <w:rsid w:val="007D0338"/>
    <w:rsid w:val="007D0CCE"/>
    <w:rsid w:val="007D0F74"/>
    <w:rsid w:val="007D2AB4"/>
    <w:rsid w:val="007D4C65"/>
    <w:rsid w:val="007D5525"/>
    <w:rsid w:val="007D57BB"/>
    <w:rsid w:val="007D5FBF"/>
    <w:rsid w:val="007D6DD7"/>
    <w:rsid w:val="007E156E"/>
    <w:rsid w:val="007E1A9B"/>
    <w:rsid w:val="007E2199"/>
    <w:rsid w:val="007E46A9"/>
    <w:rsid w:val="007E4D9D"/>
    <w:rsid w:val="007E5037"/>
    <w:rsid w:val="007E510D"/>
    <w:rsid w:val="007E5B2F"/>
    <w:rsid w:val="007E5BED"/>
    <w:rsid w:val="007E6674"/>
    <w:rsid w:val="007E6ED5"/>
    <w:rsid w:val="007E7271"/>
    <w:rsid w:val="007E78C3"/>
    <w:rsid w:val="007F060C"/>
    <w:rsid w:val="007F0DCF"/>
    <w:rsid w:val="007F2F96"/>
    <w:rsid w:val="007F3BD7"/>
    <w:rsid w:val="007F3C78"/>
    <w:rsid w:val="007F5A99"/>
    <w:rsid w:val="007F6093"/>
    <w:rsid w:val="007F6270"/>
    <w:rsid w:val="008001FB"/>
    <w:rsid w:val="00800680"/>
    <w:rsid w:val="00800C23"/>
    <w:rsid w:val="008011FC"/>
    <w:rsid w:val="00801D99"/>
    <w:rsid w:val="008020C0"/>
    <w:rsid w:val="00802773"/>
    <w:rsid w:val="008043E0"/>
    <w:rsid w:val="00805164"/>
    <w:rsid w:val="00807084"/>
    <w:rsid w:val="00811865"/>
    <w:rsid w:val="00811EFF"/>
    <w:rsid w:val="00812750"/>
    <w:rsid w:val="0081326D"/>
    <w:rsid w:val="00814044"/>
    <w:rsid w:val="00814700"/>
    <w:rsid w:val="00814B64"/>
    <w:rsid w:val="0081536E"/>
    <w:rsid w:val="0081549A"/>
    <w:rsid w:val="00815629"/>
    <w:rsid w:val="00815957"/>
    <w:rsid w:val="00816952"/>
    <w:rsid w:val="00817797"/>
    <w:rsid w:val="00817CAD"/>
    <w:rsid w:val="00820DA6"/>
    <w:rsid w:val="00821791"/>
    <w:rsid w:val="00821C06"/>
    <w:rsid w:val="008233FF"/>
    <w:rsid w:val="008237BD"/>
    <w:rsid w:val="0082470C"/>
    <w:rsid w:val="0082550B"/>
    <w:rsid w:val="0082585C"/>
    <w:rsid w:val="00826864"/>
    <w:rsid w:val="0082688D"/>
    <w:rsid w:val="00826B76"/>
    <w:rsid w:val="00826B82"/>
    <w:rsid w:val="00826FDA"/>
    <w:rsid w:val="00827ACE"/>
    <w:rsid w:val="00827B7D"/>
    <w:rsid w:val="00827DDC"/>
    <w:rsid w:val="00830261"/>
    <w:rsid w:val="0083097E"/>
    <w:rsid w:val="00830A2D"/>
    <w:rsid w:val="0083165F"/>
    <w:rsid w:val="008326B6"/>
    <w:rsid w:val="008332D8"/>
    <w:rsid w:val="008335D4"/>
    <w:rsid w:val="008339CA"/>
    <w:rsid w:val="0083455C"/>
    <w:rsid w:val="00835605"/>
    <w:rsid w:val="008359E7"/>
    <w:rsid w:val="00836247"/>
    <w:rsid w:val="008368A4"/>
    <w:rsid w:val="008371C7"/>
    <w:rsid w:val="00837BE6"/>
    <w:rsid w:val="00840BCA"/>
    <w:rsid w:val="00840F11"/>
    <w:rsid w:val="00841624"/>
    <w:rsid w:val="00843F6A"/>
    <w:rsid w:val="00844223"/>
    <w:rsid w:val="0084467D"/>
    <w:rsid w:val="00847BBB"/>
    <w:rsid w:val="00847E9B"/>
    <w:rsid w:val="00847FCC"/>
    <w:rsid w:val="0085011F"/>
    <w:rsid w:val="008501A0"/>
    <w:rsid w:val="0085085C"/>
    <w:rsid w:val="00851959"/>
    <w:rsid w:val="008544DF"/>
    <w:rsid w:val="00855101"/>
    <w:rsid w:val="00855105"/>
    <w:rsid w:val="00855574"/>
    <w:rsid w:val="008557E6"/>
    <w:rsid w:val="0085651B"/>
    <w:rsid w:val="008567AE"/>
    <w:rsid w:val="00856973"/>
    <w:rsid w:val="00856C6C"/>
    <w:rsid w:val="00857BB2"/>
    <w:rsid w:val="008610C3"/>
    <w:rsid w:val="008617F7"/>
    <w:rsid w:val="00863342"/>
    <w:rsid w:val="0086405C"/>
    <w:rsid w:val="008656ED"/>
    <w:rsid w:val="0086622C"/>
    <w:rsid w:val="00867A09"/>
    <w:rsid w:val="0087045F"/>
    <w:rsid w:val="00871D3F"/>
    <w:rsid w:val="008722C0"/>
    <w:rsid w:val="00872882"/>
    <w:rsid w:val="00872947"/>
    <w:rsid w:val="00872C86"/>
    <w:rsid w:val="008730B0"/>
    <w:rsid w:val="00873248"/>
    <w:rsid w:val="00873255"/>
    <w:rsid w:val="00873FBE"/>
    <w:rsid w:val="008742FF"/>
    <w:rsid w:val="008746CE"/>
    <w:rsid w:val="00874A76"/>
    <w:rsid w:val="00875031"/>
    <w:rsid w:val="00875DD4"/>
    <w:rsid w:val="008763D1"/>
    <w:rsid w:val="00876798"/>
    <w:rsid w:val="00877363"/>
    <w:rsid w:val="00877815"/>
    <w:rsid w:val="00877B1E"/>
    <w:rsid w:val="0088062C"/>
    <w:rsid w:val="00882247"/>
    <w:rsid w:val="0088255D"/>
    <w:rsid w:val="00882576"/>
    <w:rsid w:val="008862D9"/>
    <w:rsid w:val="00886678"/>
    <w:rsid w:val="0088742B"/>
    <w:rsid w:val="00890CF3"/>
    <w:rsid w:val="00891992"/>
    <w:rsid w:val="00891B6D"/>
    <w:rsid w:val="00892D34"/>
    <w:rsid w:val="00892F03"/>
    <w:rsid w:val="008935B1"/>
    <w:rsid w:val="008938D8"/>
    <w:rsid w:val="008938F6"/>
    <w:rsid w:val="00893BA4"/>
    <w:rsid w:val="0089406B"/>
    <w:rsid w:val="008944B7"/>
    <w:rsid w:val="008951C8"/>
    <w:rsid w:val="0089682B"/>
    <w:rsid w:val="008A03E8"/>
    <w:rsid w:val="008A04F5"/>
    <w:rsid w:val="008A0512"/>
    <w:rsid w:val="008A09AA"/>
    <w:rsid w:val="008A2C08"/>
    <w:rsid w:val="008A2C14"/>
    <w:rsid w:val="008A3F9D"/>
    <w:rsid w:val="008A46EF"/>
    <w:rsid w:val="008A4E24"/>
    <w:rsid w:val="008A6A66"/>
    <w:rsid w:val="008A74EC"/>
    <w:rsid w:val="008B1A98"/>
    <w:rsid w:val="008B1E78"/>
    <w:rsid w:val="008B2231"/>
    <w:rsid w:val="008B28F5"/>
    <w:rsid w:val="008B30B8"/>
    <w:rsid w:val="008B493F"/>
    <w:rsid w:val="008B50EE"/>
    <w:rsid w:val="008B56E1"/>
    <w:rsid w:val="008C00FC"/>
    <w:rsid w:val="008C0948"/>
    <w:rsid w:val="008C22DD"/>
    <w:rsid w:val="008C2336"/>
    <w:rsid w:val="008C461F"/>
    <w:rsid w:val="008C5657"/>
    <w:rsid w:val="008C6026"/>
    <w:rsid w:val="008C7301"/>
    <w:rsid w:val="008C736E"/>
    <w:rsid w:val="008C7615"/>
    <w:rsid w:val="008D0994"/>
    <w:rsid w:val="008D099A"/>
    <w:rsid w:val="008D1EEE"/>
    <w:rsid w:val="008D26C5"/>
    <w:rsid w:val="008D288A"/>
    <w:rsid w:val="008D2C22"/>
    <w:rsid w:val="008D3627"/>
    <w:rsid w:val="008D38A0"/>
    <w:rsid w:val="008D4F01"/>
    <w:rsid w:val="008D61C2"/>
    <w:rsid w:val="008D6C9B"/>
    <w:rsid w:val="008D7926"/>
    <w:rsid w:val="008D7DD4"/>
    <w:rsid w:val="008E02AB"/>
    <w:rsid w:val="008E092C"/>
    <w:rsid w:val="008E15CF"/>
    <w:rsid w:val="008E191A"/>
    <w:rsid w:val="008E1CC9"/>
    <w:rsid w:val="008E32D2"/>
    <w:rsid w:val="008E4330"/>
    <w:rsid w:val="008E4576"/>
    <w:rsid w:val="008E47FB"/>
    <w:rsid w:val="008E4C9E"/>
    <w:rsid w:val="008E5DDE"/>
    <w:rsid w:val="008F0C0B"/>
    <w:rsid w:val="008F0CF5"/>
    <w:rsid w:val="008F2882"/>
    <w:rsid w:val="008F28D1"/>
    <w:rsid w:val="008F2A61"/>
    <w:rsid w:val="008F2E78"/>
    <w:rsid w:val="008F3634"/>
    <w:rsid w:val="008F4997"/>
    <w:rsid w:val="008F5248"/>
    <w:rsid w:val="008F5515"/>
    <w:rsid w:val="008F59A8"/>
    <w:rsid w:val="008F5EC8"/>
    <w:rsid w:val="008F5EE6"/>
    <w:rsid w:val="008F7302"/>
    <w:rsid w:val="00901C32"/>
    <w:rsid w:val="00902162"/>
    <w:rsid w:val="00902853"/>
    <w:rsid w:val="00903DDF"/>
    <w:rsid w:val="009055C3"/>
    <w:rsid w:val="00905CA8"/>
    <w:rsid w:val="00905EF6"/>
    <w:rsid w:val="009073BF"/>
    <w:rsid w:val="00907B50"/>
    <w:rsid w:val="00907D7A"/>
    <w:rsid w:val="00910021"/>
    <w:rsid w:val="0091133D"/>
    <w:rsid w:val="00911814"/>
    <w:rsid w:val="0091375F"/>
    <w:rsid w:val="00914258"/>
    <w:rsid w:val="00914DD8"/>
    <w:rsid w:val="00915752"/>
    <w:rsid w:val="00915CFF"/>
    <w:rsid w:val="00915D03"/>
    <w:rsid w:val="00916D49"/>
    <w:rsid w:val="00917181"/>
    <w:rsid w:val="00917B03"/>
    <w:rsid w:val="0092131F"/>
    <w:rsid w:val="0092146C"/>
    <w:rsid w:val="00922168"/>
    <w:rsid w:val="00922241"/>
    <w:rsid w:val="00922286"/>
    <w:rsid w:val="009226D7"/>
    <w:rsid w:val="00922DF0"/>
    <w:rsid w:val="009232D7"/>
    <w:rsid w:val="009236CB"/>
    <w:rsid w:val="00923960"/>
    <w:rsid w:val="00924A14"/>
    <w:rsid w:val="00924AF1"/>
    <w:rsid w:val="00924F16"/>
    <w:rsid w:val="00925501"/>
    <w:rsid w:val="0092562B"/>
    <w:rsid w:val="00925F5F"/>
    <w:rsid w:val="00926673"/>
    <w:rsid w:val="00926D43"/>
    <w:rsid w:val="00927F27"/>
    <w:rsid w:val="00931CA9"/>
    <w:rsid w:val="00931CB4"/>
    <w:rsid w:val="0093261F"/>
    <w:rsid w:val="009326D4"/>
    <w:rsid w:val="009329F1"/>
    <w:rsid w:val="00933F8D"/>
    <w:rsid w:val="00935670"/>
    <w:rsid w:val="00935FF3"/>
    <w:rsid w:val="00937074"/>
    <w:rsid w:val="00937485"/>
    <w:rsid w:val="00940E75"/>
    <w:rsid w:val="009442EC"/>
    <w:rsid w:val="009461F3"/>
    <w:rsid w:val="00946EE5"/>
    <w:rsid w:val="00947316"/>
    <w:rsid w:val="0094761E"/>
    <w:rsid w:val="00950781"/>
    <w:rsid w:val="0095274E"/>
    <w:rsid w:val="00952B31"/>
    <w:rsid w:val="00953A13"/>
    <w:rsid w:val="00954954"/>
    <w:rsid w:val="0095750F"/>
    <w:rsid w:val="0096069A"/>
    <w:rsid w:val="00960DDC"/>
    <w:rsid w:val="009618A4"/>
    <w:rsid w:val="00961975"/>
    <w:rsid w:val="00961AB5"/>
    <w:rsid w:val="00962E13"/>
    <w:rsid w:val="0096309F"/>
    <w:rsid w:val="00963884"/>
    <w:rsid w:val="00963BF7"/>
    <w:rsid w:val="009640C4"/>
    <w:rsid w:val="009644DC"/>
    <w:rsid w:val="00965371"/>
    <w:rsid w:val="0096617F"/>
    <w:rsid w:val="00966E78"/>
    <w:rsid w:val="0096775D"/>
    <w:rsid w:val="00967BD9"/>
    <w:rsid w:val="00970321"/>
    <w:rsid w:val="00970594"/>
    <w:rsid w:val="00971304"/>
    <w:rsid w:val="009716D9"/>
    <w:rsid w:val="00971818"/>
    <w:rsid w:val="0097181D"/>
    <w:rsid w:val="0097255F"/>
    <w:rsid w:val="00973F9F"/>
    <w:rsid w:val="0097401A"/>
    <w:rsid w:val="00974105"/>
    <w:rsid w:val="00975728"/>
    <w:rsid w:val="00975A05"/>
    <w:rsid w:val="0097616C"/>
    <w:rsid w:val="0097654D"/>
    <w:rsid w:val="00980A34"/>
    <w:rsid w:val="0098151D"/>
    <w:rsid w:val="00981524"/>
    <w:rsid w:val="009818B0"/>
    <w:rsid w:val="00981989"/>
    <w:rsid w:val="00981CA8"/>
    <w:rsid w:val="0098218E"/>
    <w:rsid w:val="00982B81"/>
    <w:rsid w:val="00982CF3"/>
    <w:rsid w:val="009832C1"/>
    <w:rsid w:val="00983623"/>
    <w:rsid w:val="00983FE3"/>
    <w:rsid w:val="0098415D"/>
    <w:rsid w:val="00984AA2"/>
    <w:rsid w:val="00985021"/>
    <w:rsid w:val="00985538"/>
    <w:rsid w:val="0098670B"/>
    <w:rsid w:val="009868AB"/>
    <w:rsid w:val="00991512"/>
    <w:rsid w:val="00991C0A"/>
    <w:rsid w:val="00991CC0"/>
    <w:rsid w:val="00992771"/>
    <w:rsid w:val="00992A9A"/>
    <w:rsid w:val="00993AF8"/>
    <w:rsid w:val="00994004"/>
    <w:rsid w:val="00997B94"/>
    <w:rsid w:val="009A05E4"/>
    <w:rsid w:val="009A063E"/>
    <w:rsid w:val="009A08CB"/>
    <w:rsid w:val="009A121E"/>
    <w:rsid w:val="009A1221"/>
    <w:rsid w:val="009A12D3"/>
    <w:rsid w:val="009A169D"/>
    <w:rsid w:val="009A28DD"/>
    <w:rsid w:val="009A3C80"/>
    <w:rsid w:val="009A3D97"/>
    <w:rsid w:val="009A410F"/>
    <w:rsid w:val="009A5790"/>
    <w:rsid w:val="009A5B2C"/>
    <w:rsid w:val="009A5B4F"/>
    <w:rsid w:val="009A6BA3"/>
    <w:rsid w:val="009A7272"/>
    <w:rsid w:val="009A7892"/>
    <w:rsid w:val="009A7ADB"/>
    <w:rsid w:val="009A7E03"/>
    <w:rsid w:val="009B1E2F"/>
    <w:rsid w:val="009B4147"/>
    <w:rsid w:val="009B41BE"/>
    <w:rsid w:val="009B4C1D"/>
    <w:rsid w:val="009B5EA5"/>
    <w:rsid w:val="009B6227"/>
    <w:rsid w:val="009B704F"/>
    <w:rsid w:val="009B745B"/>
    <w:rsid w:val="009C1067"/>
    <w:rsid w:val="009C13C0"/>
    <w:rsid w:val="009C1578"/>
    <w:rsid w:val="009C1623"/>
    <w:rsid w:val="009C22D0"/>
    <w:rsid w:val="009C325E"/>
    <w:rsid w:val="009C3613"/>
    <w:rsid w:val="009C389E"/>
    <w:rsid w:val="009C3E91"/>
    <w:rsid w:val="009C3F20"/>
    <w:rsid w:val="009C5195"/>
    <w:rsid w:val="009C5A81"/>
    <w:rsid w:val="009C6648"/>
    <w:rsid w:val="009C737A"/>
    <w:rsid w:val="009D031D"/>
    <w:rsid w:val="009D1160"/>
    <w:rsid w:val="009D1F75"/>
    <w:rsid w:val="009D22B5"/>
    <w:rsid w:val="009D2B18"/>
    <w:rsid w:val="009D3A00"/>
    <w:rsid w:val="009D6C3F"/>
    <w:rsid w:val="009D7EA1"/>
    <w:rsid w:val="009E1E05"/>
    <w:rsid w:val="009E2982"/>
    <w:rsid w:val="009E31B1"/>
    <w:rsid w:val="009E3C50"/>
    <w:rsid w:val="009E48C7"/>
    <w:rsid w:val="009E4D97"/>
    <w:rsid w:val="009E5A22"/>
    <w:rsid w:val="009E601E"/>
    <w:rsid w:val="009E60DC"/>
    <w:rsid w:val="009E6B8B"/>
    <w:rsid w:val="009E6EA8"/>
    <w:rsid w:val="009F11A9"/>
    <w:rsid w:val="009F1560"/>
    <w:rsid w:val="009F1F67"/>
    <w:rsid w:val="009F3974"/>
    <w:rsid w:val="009F46AB"/>
    <w:rsid w:val="009F5310"/>
    <w:rsid w:val="009F5D4A"/>
    <w:rsid w:val="009F6612"/>
    <w:rsid w:val="009F77B4"/>
    <w:rsid w:val="009F7B98"/>
    <w:rsid w:val="00A0114D"/>
    <w:rsid w:val="00A014FE"/>
    <w:rsid w:val="00A01B1A"/>
    <w:rsid w:val="00A02860"/>
    <w:rsid w:val="00A02C14"/>
    <w:rsid w:val="00A03DFE"/>
    <w:rsid w:val="00A04465"/>
    <w:rsid w:val="00A045F2"/>
    <w:rsid w:val="00A04BA1"/>
    <w:rsid w:val="00A052E8"/>
    <w:rsid w:val="00A054D6"/>
    <w:rsid w:val="00A05CA0"/>
    <w:rsid w:val="00A05CD1"/>
    <w:rsid w:val="00A0609D"/>
    <w:rsid w:val="00A10970"/>
    <w:rsid w:val="00A11E6B"/>
    <w:rsid w:val="00A12171"/>
    <w:rsid w:val="00A12312"/>
    <w:rsid w:val="00A12951"/>
    <w:rsid w:val="00A12E85"/>
    <w:rsid w:val="00A13186"/>
    <w:rsid w:val="00A137CB"/>
    <w:rsid w:val="00A13CDF"/>
    <w:rsid w:val="00A14C05"/>
    <w:rsid w:val="00A15AF5"/>
    <w:rsid w:val="00A16F8B"/>
    <w:rsid w:val="00A17F05"/>
    <w:rsid w:val="00A201DE"/>
    <w:rsid w:val="00A21078"/>
    <w:rsid w:val="00A21834"/>
    <w:rsid w:val="00A22518"/>
    <w:rsid w:val="00A22CDD"/>
    <w:rsid w:val="00A23AED"/>
    <w:rsid w:val="00A241ED"/>
    <w:rsid w:val="00A242BE"/>
    <w:rsid w:val="00A24381"/>
    <w:rsid w:val="00A24FA5"/>
    <w:rsid w:val="00A25EE7"/>
    <w:rsid w:val="00A275DD"/>
    <w:rsid w:val="00A30204"/>
    <w:rsid w:val="00A3021B"/>
    <w:rsid w:val="00A302F3"/>
    <w:rsid w:val="00A3125F"/>
    <w:rsid w:val="00A316CE"/>
    <w:rsid w:val="00A31C49"/>
    <w:rsid w:val="00A32419"/>
    <w:rsid w:val="00A32C87"/>
    <w:rsid w:val="00A33792"/>
    <w:rsid w:val="00A34812"/>
    <w:rsid w:val="00A34B1A"/>
    <w:rsid w:val="00A36BDA"/>
    <w:rsid w:val="00A36C81"/>
    <w:rsid w:val="00A43671"/>
    <w:rsid w:val="00A44AF3"/>
    <w:rsid w:val="00A460B0"/>
    <w:rsid w:val="00A46594"/>
    <w:rsid w:val="00A46C8B"/>
    <w:rsid w:val="00A46D38"/>
    <w:rsid w:val="00A477AF"/>
    <w:rsid w:val="00A535C2"/>
    <w:rsid w:val="00A539A7"/>
    <w:rsid w:val="00A53C16"/>
    <w:rsid w:val="00A54CE1"/>
    <w:rsid w:val="00A55566"/>
    <w:rsid w:val="00A5562D"/>
    <w:rsid w:val="00A567E3"/>
    <w:rsid w:val="00A60739"/>
    <w:rsid w:val="00A60FC9"/>
    <w:rsid w:val="00A618B7"/>
    <w:rsid w:val="00A61BE7"/>
    <w:rsid w:val="00A62269"/>
    <w:rsid w:val="00A62E2A"/>
    <w:rsid w:val="00A63C7F"/>
    <w:rsid w:val="00A64D79"/>
    <w:rsid w:val="00A6503D"/>
    <w:rsid w:val="00A65567"/>
    <w:rsid w:val="00A66C90"/>
    <w:rsid w:val="00A67DF5"/>
    <w:rsid w:val="00A70289"/>
    <w:rsid w:val="00A70D39"/>
    <w:rsid w:val="00A70EC3"/>
    <w:rsid w:val="00A718F6"/>
    <w:rsid w:val="00A72F06"/>
    <w:rsid w:val="00A74D72"/>
    <w:rsid w:val="00A75B3D"/>
    <w:rsid w:val="00A764BC"/>
    <w:rsid w:val="00A76CB6"/>
    <w:rsid w:val="00A774A6"/>
    <w:rsid w:val="00A77E69"/>
    <w:rsid w:val="00A8044A"/>
    <w:rsid w:val="00A80E9C"/>
    <w:rsid w:val="00A81B90"/>
    <w:rsid w:val="00A81CCE"/>
    <w:rsid w:val="00A8352A"/>
    <w:rsid w:val="00A84769"/>
    <w:rsid w:val="00A84776"/>
    <w:rsid w:val="00A852D2"/>
    <w:rsid w:val="00A863A3"/>
    <w:rsid w:val="00A86DA1"/>
    <w:rsid w:val="00A8777C"/>
    <w:rsid w:val="00A90226"/>
    <w:rsid w:val="00A90295"/>
    <w:rsid w:val="00A90951"/>
    <w:rsid w:val="00A90991"/>
    <w:rsid w:val="00A90E1E"/>
    <w:rsid w:val="00A912AC"/>
    <w:rsid w:val="00A91C59"/>
    <w:rsid w:val="00A924DD"/>
    <w:rsid w:val="00A92962"/>
    <w:rsid w:val="00A93166"/>
    <w:rsid w:val="00A93DFE"/>
    <w:rsid w:val="00A942ED"/>
    <w:rsid w:val="00A959EE"/>
    <w:rsid w:val="00A95F35"/>
    <w:rsid w:val="00A96288"/>
    <w:rsid w:val="00A963F9"/>
    <w:rsid w:val="00A96ABD"/>
    <w:rsid w:val="00AA02A2"/>
    <w:rsid w:val="00AA217C"/>
    <w:rsid w:val="00AA2DC6"/>
    <w:rsid w:val="00AA3F6A"/>
    <w:rsid w:val="00AA40F5"/>
    <w:rsid w:val="00AA50D7"/>
    <w:rsid w:val="00AA6B66"/>
    <w:rsid w:val="00AA7A63"/>
    <w:rsid w:val="00AB01C9"/>
    <w:rsid w:val="00AB027F"/>
    <w:rsid w:val="00AB0754"/>
    <w:rsid w:val="00AB1422"/>
    <w:rsid w:val="00AB1CD5"/>
    <w:rsid w:val="00AB1E4E"/>
    <w:rsid w:val="00AB250A"/>
    <w:rsid w:val="00AB293E"/>
    <w:rsid w:val="00AB49CE"/>
    <w:rsid w:val="00AB4C7B"/>
    <w:rsid w:val="00AB4D57"/>
    <w:rsid w:val="00AB5290"/>
    <w:rsid w:val="00AB6467"/>
    <w:rsid w:val="00AB71ED"/>
    <w:rsid w:val="00AB74A5"/>
    <w:rsid w:val="00AB78F0"/>
    <w:rsid w:val="00AB7EE7"/>
    <w:rsid w:val="00AC007B"/>
    <w:rsid w:val="00AC050E"/>
    <w:rsid w:val="00AC0CFE"/>
    <w:rsid w:val="00AC1570"/>
    <w:rsid w:val="00AC2757"/>
    <w:rsid w:val="00AC4710"/>
    <w:rsid w:val="00AC5096"/>
    <w:rsid w:val="00AC547D"/>
    <w:rsid w:val="00AC5D93"/>
    <w:rsid w:val="00AC66F6"/>
    <w:rsid w:val="00AC6C77"/>
    <w:rsid w:val="00AC7C87"/>
    <w:rsid w:val="00AD020D"/>
    <w:rsid w:val="00AD11D7"/>
    <w:rsid w:val="00AD1590"/>
    <w:rsid w:val="00AD3F33"/>
    <w:rsid w:val="00AD446D"/>
    <w:rsid w:val="00AD4EFF"/>
    <w:rsid w:val="00AD4F6E"/>
    <w:rsid w:val="00AD6A86"/>
    <w:rsid w:val="00AD6B32"/>
    <w:rsid w:val="00AD6E3C"/>
    <w:rsid w:val="00AD6F2C"/>
    <w:rsid w:val="00AE1009"/>
    <w:rsid w:val="00AE1F27"/>
    <w:rsid w:val="00AE2895"/>
    <w:rsid w:val="00AE3A0E"/>
    <w:rsid w:val="00AE3D33"/>
    <w:rsid w:val="00AE402C"/>
    <w:rsid w:val="00AE41A3"/>
    <w:rsid w:val="00AE426A"/>
    <w:rsid w:val="00AE4305"/>
    <w:rsid w:val="00AE495C"/>
    <w:rsid w:val="00AE4A60"/>
    <w:rsid w:val="00AE4DF7"/>
    <w:rsid w:val="00AE5096"/>
    <w:rsid w:val="00AE521D"/>
    <w:rsid w:val="00AE5681"/>
    <w:rsid w:val="00AE6138"/>
    <w:rsid w:val="00AF122E"/>
    <w:rsid w:val="00AF1AFD"/>
    <w:rsid w:val="00AF2AA1"/>
    <w:rsid w:val="00AF42E4"/>
    <w:rsid w:val="00AF42FC"/>
    <w:rsid w:val="00AF436F"/>
    <w:rsid w:val="00AF43D2"/>
    <w:rsid w:val="00AF4966"/>
    <w:rsid w:val="00AF5478"/>
    <w:rsid w:val="00AF682E"/>
    <w:rsid w:val="00AF699B"/>
    <w:rsid w:val="00AF7461"/>
    <w:rsid w:val="00AF77A9"/>
    <w:rsid w:val="00B0002F"/>
    <w:rsid w:val="00B012B1"/>
    <w:rsid w:val="00B016A4"/>
    <w:rsid w:val="00B01A35"/>
    <w:rsid w:val="00B04972"/>
    <w:rsid w:val="00B04E09"/>
    <w:rsid w:val="00B058EA"/>
    <w:rsid w:val="00B0598B"/>
    <w:rsid w:val="00B060ED"/>
    <w:rsid w:val="00B06538"/>
    <w:rsid w:val="00B06561"/>
    <w:rsid w:val="00B07A51"/>
    <w:rsid w:val="00B07C7B"/>
    <w:rsid w:val="00B1009A"/>
    <w:rsid w:val="00B10E89"/>
    <w:rsid w:val="00B122DC"/>
    <w:rsid w:val="00B12830"/>
    <w:rsid w:val="00B141D9"/>
    <w:rsid w:val="00B14498"/>
    <w:rsid w:val="00B1616C"/>
    <w:rsid w:val="00B1655A"/>
    <w:rsid w:val="00B16974"/>
    <w:rsid w:val="00B21F70"/>
    <w:rsid w:val="00B222F5"/>
    <w:rsid w:val="00B227C6"/>
    <w:rsid w:val="00B23619"/>
    <w:rsid w:val="00B2422C"/>
    <w:rsid w:val="00B2453F"/>
    <w:rsid w:val="00B25333"/>
    <w:rsid w:val="00B27556"/>
    <w:rsid w:val="00B27873"/>
    <w:rsid w:val="00B3047D"/>
    <w:rsid w:val="00B317E9"/>
    <w:rsid w:val="00B318E8"/>
    <w:rsid w:val="00B31DE9"/>
    <w:rsid w:val="00B3349D"/>
    <w:rsid w:val="00B33F20"/>
    <w:rsid w:val="00B347AA"/>
    <w:rsid w:val="00B36938"/>
    <w:rsid w:val="00B37136"/>
    <w:rsid w:val="00B4115F"/>
    <w:rsid w:val="00B4133F"/>
    <w:rsid w:val="00B42FBD"/>
    <w:rsid w:val="00B4361E"/>
    <w:rsid w:val="00B43F91"/>
    <w:rsid w:val="00B44638"/>
    <w:rsid w:val="00B44786"/>
    <w:rsid w:val="00B4482F"/>
    <w:rsid w:val="00B448A6"/>
    <w:rsid w:val="00B44BBF"/>
    <w:rsid w:val="00B45CCB"/>
    <w:rsid w:val="00B460C0"/>
    <w:rsid w:val="00B46D0E"/>
    <w:rsid w:val="00B46FBF"/>
    <w:rsid w:val="00B47577"/>
    <w:rsid w:val="00B47C78"/>
    <w:rsid w:val="00B47F9B"/>
    <w:rsid w:val="00B50CFA"/>
    <w:rsid w:val="00B51AD4"/>
    <w:rsid w:val="00B523CB"/>
    <w:rsid w:val="00B53F84"/>
    <w:rsid w:val="00B54864"/>
    <w:rsid w:val="00B54A9A"/>
    <w:rsid w:val="00B54E0B"/>
    <w:rsid w:val="00B550DE"/>
    <w:rsid w:val="00B552FB"/>
    <w:rsid w:val="00B55D8E"/>
    <w:rsid w:val="00B576A3"/>
    <w:rsid w:val="00B577D6"/>
    <w:rsid w:val="00B623B1"/>
    <w:rsid w:val="00B63505"/>
    <w:rsid w:val="00B6359C"/>
    <w:rsid w:val="00B63691"/>
    <w:rsid w:val="00B640CC"/>
    <w:rsid w:val="00B651CE"/>
    <w:rsid w:val="00B65712"/>
    <w:rsid w:val="00B661C8"/>
    <w:rsid w:val="00B66A92"/>
    <w:rsid w:val="00B6719C"/>
    <w:rsid w:val="00B67D24"/>
    <w:rsid w:val="00B70005"/>
    <w:rsid w:val="00B71660"/>
    <w:rsid w:val="00B716C7"/>
    <w:rsid w:val="00B7192B"/>
    <w:rsid w:val="00B71D88"/>
    <w:rsid w:val="00B71E96"/>
    <w:rsid w:val="00B71FAA"/>
    <w:rsid w:val="00B725C4"/>
    <w:rsid w:val="00B72979"/>
    <w:rsid w:val="00B73B4B"/>
    <w:rsid w:val="00B778F1"/>
    <w:rsid w:val="00B77B11"/>
    <w:rsid w:val="00B77B49"/>
    <w:rsid w:val="00B77CCF"/>
    <w:rsid w:val="00B77D5E"/>
    <w:rsid w:val="00B80549"/>
    <w:rsid w:val="00B80F72"/>
    <w:rsid w:val="00B8111F"/>
    <w:rsid w:val="00B82423"/>
    <w:rsid w:val="00B8401A"/>
    <w:rsid w:val="00B86877"/>
    <w:rsid w:val="00B901C0"/>
    <w:rsid w:val="00B90938"/>
    <w:rsid w:val="00B91C3C"/>
    <w:rsid w:val="00B921FE"/>
    <w:rsid w:val="00B92CC1"/>
    <w:rsid w:val="00B94B17"/>
    <w:rsid w:val="00B95B4B"/>
    <w:rsid w:val="00B96FBB"/>
    <w:rsid w:val="00B977A7"/>
    <w:rsid w:val="00B97864"/>
    <w:rsid w:val="00BA04D5"/>
    <w:rsid w:val="00BA19E9"/>
    <w:rsid w:val="00BA2186"/>
    <w:rsid w:val="00BA2A55"/>
    <w:rsid w:val="00BA3E6B"/>
    <w:rsid w:val="00BA5292"/>
    <w:rsid w:val="00BA5660"/>
    <w:rsid w:val="00BA64A4"/>
    <w:rsid w:val="00BA69E0"/>
    <w:rsid w:val="00BA7536"/>
    <w:rsid w:val="00BA772A"/>
    <w:rsid w:val="00BA7E6F"/>
    <w:rsid w:val="00BB13FB"/>
    <w:rsid w:val="00BB2092"/>
    <w:rsid w:val="00BB223D"/>
    <w:rsid w:val="00BB3066"/>
    <w:rsid w:val="00BB39C2"/>
    <w:rsid w:val="00BB5AE0"/>
    <w:rsid w:val="00BB6A92"/>
    <w:rsid w:val="00BB6F5A"/>
    <w:rsid w:val="00BB72A0"/>
    <w:rsid w:val="00BB7477"/>
    <w:rsid w:val="00BB7D01"/>
    <w:rsid w:val="00BC0290"/>
    <w:rsid w:val="00BC174C"/>
    <w:rsid w:val="00BC175D"/>
    <w:rsid w:val="00BC1C45"/>
    <w:rsid w:val="00BC2545"/>
    <w:rsid w:val="00BC4D55"/>
    <w:rsid w:val="00BC502C"/>
    <w:rsid w:val="00BC56EC"/>
    <w:rsid w:val="00BC5B4A"/>
    <w:rsid w:val="00BC64AD"/>
    <w:rsid w:val="00BD06A4"/>
    <w:rsid w:val="00BD0F00"/>
    <w:rsid w:val="00BD12D8"/>
    <w:rsid w:val="00BD162F"/>
    <w:rsid w:val="00BD2014"/>
    <w:rsid w:val="00BD2CF7"/>
    <w:rsid w:val="00BD32EF"/>
    <w:rsid w:val="00BD3433"/>
    <w:rsid w:val="00BD40C1"/>
    <w:rsid w:val="00BD4337"/>
    <w:rsid w:val="00BD4C4F"/>
    <w:rsid w:val="00BD579E"/>
    <w:rsid w:val="00BD5961"/>
    <w:rsid w:val="00BE09B3"/>
    <w:rsid w:val="00BE0B8D"/>
    <w:rsid w:val="00BE0BA0"/>
    <w:rsid w:val="00BE1343"/>
    <w:rsid w:val="00BE146E"/>
    <w:rsid w:val="00BE16BD"/>
    <w:rsid w:val="00BE1D38"/>
    <w:rsid w:val="00BE31EF"/>
    <w:rsid w:val="00BE3E9F"/>
    <w:rsid w:val="00BE5D28"/>
    <w:rsid w:val="00BE695F"/>
    <w:rsid w:val="00BE6F8B"/>
    <w:rsid w:val="00BE702F"/>
    <w:rsid w:val="00BE7B25"/>
    <w:rsid w:val="00BF14A3"/>
    <w:rsid w:val="00BF1DB6"/>
    <w:rsid w:val="00BF256F"/>
    <w:rsid w:val="00BF2D47"/>
    <w:rsid w:val="00BF41E4"/>
    <w:rsid w:val="00BF6738"/>
    <w:rsid w:val="00BF779B"/>
    <w:rsid w:val="00BF7B80"/>
    <w:rsid w:val="00C00698"/>
    <w:rsid w:val="00C00722"/>
    <w:rsid w:val="00C03FB6"/>
    <w:rsid w:val="00C050DE"/>
    <w:rsid w:val="00C05D98"/>
    <w:rsid w:val="00C05E9A"/>
    <w:rsid w:val="00C069BF"/>
    <w:rsid w:val="00C077D0"/>
    <w:rsid w:val="00C079BE"/>
    <w:rsid w:val="00C10F77"/>
    <w:rsid w:val="00C11726"/>
    <w:rsid w:val="00C119A1"/>
    <w:rsid w:val="00C12427"/>
    <w:rsid w:val="00C12825"/>
    <w:rsid w:val="00C12FBD"/>
    <w:rsid w:val="00C1362A"/>
    <w:rsid w:val="00C13E0E"/>
    <w:rsid w:val="00C15D70"/>
    <w:rsid w:val="00C15EC8"/>
    <w:rsid w:val="00C173A7"/>
    <w:rsid w:val="00C17497"/>
    <w:rsid w:val="00C1774F"/>
    <w:rsid w:val="00C17EFB"/>
    <w:rsid w:val="00C21A45"/>
    <w:rsid w:val="00C22E67"/>
    <w:rsid w:val="00C22F53"/>
    <w:rsid w:val="00C23E84"/>
    <w:rsid w:val="00C24729"/>
    <w:rsid w:val="00C2532B"/>
    <w:rsid w:val="00C26115"/>
    <w:rsid w:val="00C269DB"/>
    <w:rsid w:val="00C27A02"/>
    <w:rsid w:val="00C3013B"/>
    <w:rsid w:val="00C3092C"/>
    <w:rsid w:val="00C30FD9"/>
    <w:rsid w:val="00C3444B"/>
    <w:rsid w:val="00C34829"/>
    <w:rsid w:val="00C34D42"/>
    <w:rsid w:val="00C35654"/>
    <w:rsid w:val="00C35CC9"/>
    <w:rsid w:val="00C36697"/>
    <w:rsid w:val="00C36AFE"/>
    <w:rsid w:val="00C37C3B"/>
    <w:rsid w:val="00C40703"/>
    <w:rsid w:val="00C4095D"/>
    <w:rsid w:val="00C40DF1"/>
    <w:rsid w:val="00C422E4"/>
    <w:rsid w:val="00C4394F"/>
    <w:rsid w:val="00C446DC"/>
    <w:rsid w:val="00C44803"/>
    <w:rsid w:val="00C4498C"/>
    <w:rsid w:val="00C4519D"/>
    <w:rsid w:val="00C464CE"/>
    <w:rsid w:val="00C4699F"/>
    <w:rsid w:val="00C46ECC"/>
    <w:rsid w:val="00C47420"/>
    <w:rsid w:val="00C47B40"/>
    <w:rsid w:val="00C47E98"/>
    <w:rsid w:val="00C50516"/>
    <w:rsid w:val="00C506A6"/>
    <w:rsid w:val="00C512C9"/>
    <w:rsid w:val="00C5139D"/>
    <w:rsid w:val="00C513BB"/>
    <w:rsid w:val="00C54EC7"/>
    <w:rsid w:val="00C54EF1"/>
    <w:rsid w:val="00C54FE6"/>
    <w:rsid w:val="00C5547B"/>
    <w:rsid w:val="00C559DA"/>
    <w:rsid w:val="00C56DFF"/>
    <w:rsid w:val="00C56F3C"/>
    <w:rsid w:val="00C57CCD"/>
    <w:rsid w:val="00C601E8"/>
    <w:rsid w:val="00C60558"/>
    <w:rsid w:val="00C63C98"/>
    <w:rsid w:val="00C641B8"/>
    <w:rsid w:val="00C654E6"/>
    <w:rsid w:val="00C65613"/>
    <w:rsid w:val="00C67F7F"/>
    <w:rsid w:val="00C67FD5"/>
    <w:rsid w:val="00C70AB2"/>
    <w:rsid w:val="00C70DFB"/>
    <w:rsid w:val="00C72BAB"/>
    <w:rsid w:val="00C73C2E"/>
    <w:rsid w:val="00C73D0E"/>
    <w:rsid w:val="00C748BA"/>
    <w:rsid w:val="00C74A68"/>
    <w:rsid w:val="00C74DE9"/>
    <w:rsid w:val="00C74EE8"/>
    <w:rsid w:val="00C754CA"/>
    <w:rsid w:val="00C75DE3"/>
    <w:rsid w:val="00C7609A"/>
    <w:rsid w:val="00C76317"/>
    <w:rsid w:val="00C77207"/>
    <w:rsid w:val="00C805C2"/>
    <w:rsid w:val="00C8146D"/>
    <w:rsid w:val="00C81E33"/>
    <w:rsid w:val="00C8496A"/>
    <w:rsid w:val="00C855C7"/>
    <w:rsid w:val="00C8599A"/>
    <w:rsid w:val="00C86150"/>
    <w:rsid w:val="00C871AC"/>
    <w:rsid w:val="00C9071C"/>
    <w:rsid w:val="00C9117A"/>
    <w:rsid w:val="00C920D1"/>
    <w:rsid w:val="00C939B9"/>
    <w:rsid w:val="00C95178"/>
    <w:rsid w:val="00C95380"/>
    <w:rsid w:val="00C95C03"/>
    <w:rsid w:val="00C968AC"/>
    <w:rsid w:val="00C96FA8"/>
    <w:rsid w:val="00C971A6"/>
    <w:rsid w:val="00C975CF"/>
    <w:rsid w:val="00C97789"/>
    <w:rsid w:val="00C977AA"/>
    <w:rsid w:val="00CA06AA"/>
    <w:rsid w:val="00CA0C9A"/>
    <w:rsid w:val="00CA17B3"/>
    <w:rsid w:val="00CA195B"/>
    <w:rsid w:val="00CA2624"/>
    <w:rsid w:val="00CA3C40"/>
    <w:rsid w:val="00CA4AC3"/>
    <w:rsid w:val="00CA59EE"/>
    <w:rsid w:val="00CA5C4F"/>
    <w:rsid w:val="00CA6010"/>
    <w:rsid w:val="00CA688E"/>
    <w:rsid w:val="00CA6C78"/>
    <w:rsid w:val="00CA743D"/>
    <w:rsid w:val="00CA758D"/>
    <w:rsid w:val="00CB07D3"/>
    <w:rsid w:val="00CB0D60"/>
    <w:rsid w:val="00CB1411"/>
    <w:rsid w:val="00CB19DF"/>
    <w:rsid w:val="00CB1B21"/>
    <w:rsid w:val="00CB1EB7"/>
    <w:rsid w:val="00CB2F0E"/>
    <w:rsid w:val="00CB3674"/>
    <w:rsid w:val="00CB3CF4"/>
    <w:rsid w:val="00CB42D6"/>
    <w:rsid w:val="00CB439A"/>
    <w:rsid w:val="00CB4585"/>
    <w:rsid w:val="00CB65DF"/>
    <w:rsid w:val="00CB6952"/>
    <w:rsid w:val="00CB7797"/>
    <w:rsid w:val="00CB7B65"/>
    <w:rsid w:val="00CB7F50"/>
    <w:rsid w:val="00CC1893"/>
    <w:rsid w:val="00CC1FDF"/>
    <w:rsid w:val="00CC3D51"/>
    <w:rsid w:val="00CC5693"/>
    <w:rsid w:val="00CC593D"/>
    <w:rsid w:val="00CC5F24"/>
    <w:rsid w:val="00CC69C0"/>
    <w:rsid w:val="00CC69E5"/>
    <w:rsid w:val="00CC7F97"/>
    <w:rsid w:val="00CD019D"/>
    <w:rsid w:val="00CD0BDA"/>
    <w:rsid w:val="00CD1593"/>
    <w:rsid w:val="00CD1E01"/>
    <w:rsid w:val="00CD1FFC"/>
    <w:rsid w:val="00CD4ABC"/>
    <w:rsid w:val="00CD4EFC"/>
    <w:rsid w:val="00CD755D"/>
    <w:rsid w:val="00CD77A7"/>
    <w:rsid w:val="00CD7B22"/>
    <w:rsid w:val="00CD7CDA"/>
    <w:rsid w:val="00CE05C3"/>
    <w:rsid w:val="00CE2A5F"/>
    <w:rsid w:val="00CE46BB"/>
    <w:rsid w:val="00CE4CED"/>
    <w:rsid w:val="00CE4FCF"/>
    <w:rsid w:val="00CE51D9"/>
    <w:rsid w:val="00CE61D0"/>
    <w:rsid w:val="00CE6D5F"/>
    <w:rsid w:val="00CF16AD"/>
    <w:rsid w:val="00CF208B"/>
    <w:rsid w:val="00CF3162"/>
    <w:rsid w:val="00CF3DD6"/>
    <w:rsid w:val="00CF5082"/>
    <w:rsid w:val="00CF5A74"/>
    <w:rsid w:val="00CF647F"/>
    <w:rsid w:val="00CF6FA7"/>
    <w:rsid w:val="00CF7086"/>
    <w:rsid w:val="00CF7F81"/>
    <w:rsid w:val="00D0153C"/>
    <w:rsid w:val="00D018DE"/>
    <w:rsid w:val="00D019A4"/>
    <w:rsid w:val="00D01E0C"/>
    <w:rsid w:val="00D034E1"/>
    <w:rsid w:val="00D034E5"/>
    <w:rsid w:val="00D0376A"/>
    <w:rsid w:val="00D03DC9"/>
    <w:rsid w:val="00D03EC1"/>
    <w:rsid w:val="00D04CB6"/>
    <w:rsid w:val="00D05246"/>
    <w:rsid w:val="00D05B51"/>
    <w:rsid w:val="00D05DFF"/>
    <w:rsid w:val="00D062AD"/>
    <w:rsid w:val="00D1043D"/>
    <w:rsid w:val="00D10583"/>
    <w:rsid w:val="00D111EC"/>
    <w:rsid w:val="00D111FC"/>
    <w:rsid w:val="00D122A4"/>
    <w:rsid w:val="00D1266A"/>
    <w:rsid w:val="00D13F34"/>
    <w:rsid w:val="00D14FDF"/>
    <w:rsid w:val="00D1559E"/>
    <w:rsid w:val="00D158FC"/>
    <w:rsid w:val="00D16AD3"/>
    <w:rsid w:val="00D203FB"/>
    <w:rsid w:val="00D22468"/>
    <w:rsid w:val="00D2276A"/>
    <w:rsid w:val="00D22FE9"/>
    <w:rsid w:val="00D2343E"/>
    <w:rsid w:val="00D238F2"/>
    <w:rsid w:val="00D244A5"/>
    <w:rsid w:val="00D247C5"/>
    <w:rsid w:val="00D26175"/>
    <w:rsid w:val="00D273DF"/>
    <w:rsid w:val="00D27DCC"/>
    <w:rsid w:val="00D30974"/>
    <w:rsid w:val="00D30FB5"/>
    <w:rsid w:val="00D30FEE"/>
    <w:rsid w:val="00D3111C"/>
    <w:rsid w:val="00D31E62"/>
    <w:rsid w:val="00D3322B"/>
    <w:rsid w:val="00D33F70"/>
    <w:rsid w:val="00D340B8"/>
    <w:rsid w:val="00D3438F"/>
    <w:rsid w:val="00D3472C"/>
    <w:rsid w:val="00D34B04"/>
    <w:rsid w:val="00D34C13"/>
    <w:rsid w:val="00D350D5"/>
    <w:rsid w:val="00D3618E"/>
    <w:rsid w:val="00D36650"/>
    <w:rsid w:val="00D37C96"/>
    <w:rsid w:val="00D41229"/>
    <w:rsid w:val="00D41A55"/>
    <w:rsid w:val="00D41B7E"/>
    <w:rsid w:val="00D4217B"/>
    <w:rsid w:val="00D43EFB"/>
    <w:rsid w:val="00D4743F"/>
    <w:rsid w:val="00D47967"/>
    <w:rsid w:val="00D50190"/>
    <w:rsid w:val="00D501C9"/>
    <w:rsid w:val="00D5025F"/>
    <w:rsid w:val="00D51A3C"/>
    <w:rsid w:val="00D51DE7"/>
    <w:rsid w:val="00D5359A"/>
    <w:rsid w:val="00D5468C"/>
    <w:rsid w:val="00D54DF7"/>
    <w:rsid w:val="00D5589F"/>
    <w:rsid w:val="00D55A07"/>
    <w:rsid w:val="00D55B19"/>
    <w:rsid w:val="00D5680F"/>
    <w:rsid w:val="00D56906"/>
    <w:rsid w:val="00D56B9E"/>
    <w:rsid w:val="00D57252"/>
    <w:rsid w:val="00D574C3"/>
    <w:rsid w:val="00D5792D"/>
    <w:rsid w:val="00D57E1D"/>
    <w:rsid w:val="00D6114C"/>
    <w:rsid w:val="00D626AF"/>
    <w:rsid w:val="00D6299E"/>
    <w:rsid w:val="00D62C32"/>
    <w:rsid w:val="00D63ACB"/>
    <w:rsid w:val="00D63C31"/>
    <w:rsid w:val="00D63C6B"/>
    <w:rsid w:val="00D63D11"/>
    <w:rsid w:val="00D63FD9"/>
    <w:rsid w:val="00D64744"/>
    <w:rsid w:val="00D64AD1"/>
    <w:rsid w:val="00D65322"/>
    <w:rsid w:val="00D65475"/>
    <w:rsid w:val="00D65838"/>
    <w:rsid w:val="00D65C2C"/>
    <w:rsid w:val="00D65FC2"/>
    <w:rsid w:val="00D670BD"/>
    <w:rsid w:val="00D67242"/>
    <w:rsid w:val="00D67330"/>
    <w:rsid w:val="00D676E3"/>
    <w:rsid w:val="00D67807"/>
    <w:rsid w:val="00D67F82"/>
    <w:rsid w:val="00D704A9"/>
    <w:rsid w:val="00D704D9"/>
    <w:rsid w:val="00D724EB"/>
    <w:rsid w:val="00D7277E"/>
    <w:rsid w:val="00D73035"/>
    <w:rsid w:val="00D73160"/>
    <w:rsid w:val="00D731CE"/>
    <w:rsid w:val="00D743C5"/>
    <w:rsid w:val="00D7495F"/>
    <w:rsid w:val="00D77984"/>
    <w:rsid w:val="00D80A78"/>
    <w:rsid w:val="00D80DEE"/>
    <w:rsid w:val="00D8150E"/>
    <w:rsid w:val="00D82101"/>
    <w:rsid w:val="00D823F8"/>
    <w:rsid w:val="00D83459"/>
    <w:rsid w:val="00D83711"/>
    <w:rsid w:val="00D83EC2"/>
    <w:rsid w:val="00D844EF"/>
    <w:rsid w:val="00D84AD8"/>
    <w:rsid w:val="00D857DF"/>
    <w:rsid w:val="00D85B7D"/>
    <w:rsid w:val="00D85FCE"/>
    <w:rsid w:val="00D875EC"/>
    <w:rsid w:val="00D875F1"/>
    <w:rsid w:val="00D87888"/>
    <w:rsid w:val="00D87964"/>
    <w:rsid w:val="00D879DF"/>
    <w:rsid w:val="00D91CA6"/>
    <w:rsid w:val="00D92B36"/>
    <w:rsid w:val="00D92E03"/>
    <w:rsid w:val="00D935FB"/>
    <w:rsid w:val="00D9366C"/>
    <w:rsid w:val="00D93D2A"/>
    <w:rsid w:val="00D94D73"/>
    <w:rsid w:val="00D9703C"/>
    <w:rsid w:val="00D9716F"/>
    <w:rsid w:val="00D975DA"/>
    <w:rsid w:val="00D97EF7"/>
    <w:rsid w:val="00DA0814"/>
    <w:rsid w:val="00DA0F58"/>
    <w:rsid w:val="00DA3001"/>
    <w:rsid w:val="00DA31CB"/>
    <w:rsid w:val="00DA3721"/>
    <w:rsid w:val="00DA43DB"/>
    <w:rsid w:val="00DA633A"/>
    <w:rsid w:val="00DA68BF"/>
    <w:rsid w:val="00DA6BF3"/>
    <w:rsid w:val="00DA7031"/>
    <w:rsid w:val="00DA76D0"/>
    <w:rsid w:val="00DB0997"/>
    <w:rsid w:val="00DB13D0"/>
    <w:rsid w:val="00DB2A24"/>
    <w:rsid w:val="00DB31DD"/>
    <w:rsid w:val="00DB4177"/>
    <w:rsid w:val="00DB43B4"/>
    <w:rsid w:val="00DB4C00"/>
    <w:rsid w:val="00DB5FC7"/>
    <w:rsid w:val="00DB6727"/>
    <w:rsid w:val="00DC1F96"/>
    <w:rsid w:val="00DC2D38"/>
    <w:rsid w:val="00DC3E9D"/>
    <w:rsid w:val="00DC3F34"/>
    <w:rsid w:val="00DC4602"/>
    <w:rsid w:val="00DC59C8"/>
    <w:rsid w:val="00DC5EBF"/>
    <w:rsid w:val="00DC6762"/>
    <w:rsid w:val="00DC6F97"/>
    <w:rsid w:val="00DD09A0"/>
    <w:rsid w:val="00DD2D68"/>
    <w:rsid w:val="00DD3119"/>
    <w:rsid w:val="00DD3626"/>
    <w:rsid w:val="00DD439C"/>
    <w:rsid w:val="00DD4575"/>
    <w:rsid w:val="00DD4B46"/>
    <w:rsid w:val="00DD520E"/>
    <w:rsid w:val="00DD624F"/>
    <w:rsid w:val="00DD65CD"/>
    <w:rsid w:val="00DD6711"/>
    <w:rsid w:val="00DD6CF3"/>
    <w:rsid w:val="00DE020E"/>
    <w:rsid w:val="00DE07C2"/>
    <w:rsid w:val="00DE23D2"/>
    <w:rsid w:val="00DE28A8"/>
    <w:rsid w:val="00DE324A"/>
    <w:rsid w:val="00DE3357"/>
    <w:rsid w:val="00DE3375"/>
    <w:rsid w:val="00DE40DB"/>
    <w:rsid w:val="00DE594C"/>
    <w:rsid w:val="00DE59D6"/>
    <w:rsid w:val="00DE5B9C"/>
    <w:rsid w:val="00DF01CA"/>
    <w:rsid w:val="00DF0DC8"/>
    <w:rsid w:val="00DF1231"/>
    <w:rsid w:val="00DF1ACB"/>
    <w:rsid w:val="00DF1F98"/>
    <w:rsid w:val="00DF32B3"/>
    <w:rsid w:val="00DF35B4"/>
    <w:rsid w:val="00DF3EA9"/>
    <w:rsid w:val="00DF55E9"/>
    <w:rsid w:val="00DF57A7"/>
    <w:rsid w:val="00DF594B"/>
    <w:rsid w:val="00DF634F"/>
    <w:rsid w:val="00DF6AB1"/>
    <w:rsid w:val="00DF6FC5"/>
    <w:rsid w:val="00DF7751"/>
    <w:rsid w:val="00E002EE"/>
    <w:rsid w:val="00E01032"/>
    <w:rsid w:val="00E012DD"/>
    <w:rsid w:val="00E01A61"/>
    <w:rsid w:val="00E01B83"/>
    <w:rsid w:val="00E02A84"/>
    <w:rsid w:val="00E02DD4"/>
    <w:rsid w:val="00E03B1B"/>
    <w:rsid w:val="00E03F4F"/>
    <w:rsid w:val="00E0440A"/>
    <w:rsid w:val="00E04CFB"/>
    <w:rsid w:val="00E04E2A"/>
    <w:rsid w:val="00E05A9B"/>
    <w:rsid w:val="00E05BE5"/>
    <w:rsid w:val="00E05F6B"/>
    <w:rsid w:val="00E068EC"/>
    <w:rsid w:val="00E06B89"/>
    <w:rsid w:val="00E100FC"/>
    <w:rsid w:val="00E1015A"/>
    <w:rsid w:val="00E109EA"/>
    <w:rsid w:val="00E11B6D"/>
    <w:rsid w:val="00E11BF5"/>
    <w:rsid w:val="00E11C53"/>
    <w:rsid w:val="00E1437C"/>
    <w:rsid w:val="00E1453D"/>
    <w:rsid w:val="00E1508B"/>
    <w:rsid w:val="00E15136"/>
    <w:rsid w:val="00E155F6"/>
    <w:rsid w:val="00E16E7E"/>
    <w:rsid w:val="00E1715D"/>
    <w:rsid w:val="00E17309"/>
    <w:rsid w:val="00E17316"/>
    <w:rsid w:val="00E1779A"/>
    <w:rsid w:val="00E17B00"/>
    <w:rsid w:val="00E20320"/>
    <w:rsid w:val="00E20DC1"/>
    <w:rsid w:val="00E21284"/>
    <w:rsid w:val="00E221F8"/>
    <w:rsid w:val="00E223BC"/>
    <w:rsid w:val="00E22A14"/>
    <w:rsid w:val="00E22ED3"/>
    <w:rsid w:val="00E23509"/>
    <w:rsid w:val="00E23FB5"/>
    <w:rsid w:val="00E26857"/>
    <w:rsid w:val="00E2776A"/>
    <w:rsid w:val="00E30A6E"/>
    <w:rsid w:val="00E33EBA"/>
    <w:rsid w:val="00E34052"/>
    <w:rsid w:val="00E3546E"/>
    <w:rsid w:val="00E356D7"/>
    <w:rsid w:val="00E363C2"/>
    <w:rsid w:val="00E3767D"/>
    <w:rsid w:val="00E40750"/>
    <w:rsid w:val="00E40786"/>
    <w:rsid w:val="00E41855"/>
    <w:rsid w:val="00E41E61"/>
    <w:rsid w:val="00E41F18"/>
    <w:rsid w:val="00E41FA7"/>
    <w:rsid w:val="00E423CE"/>
    <w:rsid w:val="00E42522"/>
    <w:rsid w:val="00E431FC"/>
    <w:rsid w:val="00E437C6"/>
    <w:rsid w:val="00E45262"/>
    <w:rsid w:val="00E46FE0"/>
    <w:rsid w:val="00E472D1"/>
    <w:rsid w:val="00E5111E"/>
    <w:rsid w:val="00E532A1"/>
    <w:rsid w:val="00E5347F"/>
    <w:rsid w:val="00E536F4"/>
    <w:rsid w:val="00E5418D"/>
    <w:rsid w:val="00E55EF1"/>
    <w:rsid w:val="00E5658E"/>
    <w:rsid w:val="00E566F5"/>
    <w:rsid w:val="00E57C45"/>
    <w:rsid w:val="00E60035"/>
    <w:rsid w:val="00E60917"/>
    <w:rsid w:val="00E60B3A"/>
    <w:rsid w:val="00E60D3F"/>
    <w:rsid w:val="00E61327"/>
    <w:rsid w:val="00E618D6"/>
    <w:rsid w:val="00E61B38"/>
    <w:rsid w:val="00E61B42"/>
    <w:rsid w:val="00E61F2D"/>
    <w:rsid w:val="00E62A9F"/>
    <w:rsid w:val="00E63AF8"/>
    <w:rsid w:val="00E63DD2"/>
    <w:rsid w:val="00E64AAA"/>
    <w:rsid w:val="00E66264"/>
    <w:rsid w:val="00E66D66"/>
    <w:rsid w:val="00E67672"/>
    <w:rsid w:val="00E71E99"/>
    <w:rsid w:val="00E71F6E"/>
    <w:rsid w:val="00E7208B"/>
    <w:rsid w:val="00E72D12"/>
    <w:rsid w:val="00E7331D"/>
    <w:rsid w:val="00E73B44"/>
    <w:rsid w:val="00E73E88"/>
    <w:rsid w:val="00E7523C"/>
    <w:rsid w:val="00E75622"/>
    <w:rsid w:val="00E75788"/>
    <w:rsid w:val="00E757A7"/>
    <w:rsid w:val="00E76AF5"/>
    <w:rsid w:val="00E77980"/>
    <w:rsid w:val="00E802AF"/>
    <w:rsid w:val="00E80339"/>
    <w:rsid w:val="00E80880"/>
    <w:rsid w:val="00E826F3"/>
    <w:rsid w:val="00E83EFB"/>
    <w:rsid w:val="00E872F8"/>
    <w:rsid w:val="00E87336"/>
    <w:rsid w:val="00E87D27"/>
    <w:rsid w:val="00E90B83"/>
    <w:rsid w:val="00E9195D"/>
    <w:rsid w:val="00E91CD8"/>
    <w:rsid w:val="00E92066"/>
    <w:rsid w:val="00E92FC3"/>
    <w:rsid w:val="00E92FCA"/>
    <w:rsid w:val="00E93444"/>
    <w:rsid w:val="00E93CB4"/>
    <w:rsid w:val="00E947AE"/>
    <w:rsid w:val="00E94E78"/>
    <w:rsid w:val="00E958E1"/>
    <w:rsid w:val="00E9683B"/>
    <w:rsid w:val="00E96B69"/>
    <w:rsid w:val="00E973C4"/>
    <w:rsid w:val="00E97E0F"/>
    <w:rsid w:val="00EA0C71"/>
    <w:rsid w:val="00EA2993"/>
    <w:rsid w:val="00EA3209"/>
    <w:rsid w:val="00EA404A"/>
    <w:rsid w:val="00EA4A5B"/>
    <w:rsid w:val="00EA53E8"/>
    <w:rsid w:val="00EA568D"/>
    <w:rsid w:val="00EA57DA"/>
    <w:rsid w:val="00EA607B"/>
    <w:rsid w:val="00EB00D6"/>
    <w:rsid w:val="00EB0332"/>
    <w:rsid w:val="00EB071F"/>
    <w:rsid w:val="00EB12CA"/>
    <w:rsid w:val="00EB2211"/>
    <w:rsid w:val="00EB3958"/>
    <w:rsid w:val="00EB4E9C"/>
    <w:rsid w:val="00EB50CF"/>
    <w:rsid w:val="00EB5C4C"/>
    <w:rsid w:val="00EC02B7"/>
    <w:rsid w:val="00EC0C48"/>
    <w:rsid w:val="00EC1236"/>
    <w:rsid w:val="00EC1BE0"/>
    <w:rsid w:val="00EC2379"/>
    <w:rsid w:val="00EC296A"/>
    <w:rsid w:val="00EC31F5"/>
    <w:rsid w:val="00EC34A0"/>
    <w:rsid w:val="00EC3B33"/>
    <w:rsid w:val="00EC5613"/>
    <w:rsid w:val="00EC5959"/>
    <w:rsid w:val="00EC5E84"/>
    <w:rsid w:val="00EC77FF"/>
    <w:rsid w:val="00EC7A8C"/>
    <w:rsid w:val="00EC7C27"/>
    <w:rsid w:val="00ED0523"/>
    <w:rsid w:val="00ED0604"/>
    <w:rsid w:val="00ED126A"/>
    <w:rsid w:val="00ED1C10"/>
    <w:rsid w:val="00ED382B"/>
    <w:rsid w:val="00ED41A5"/>
    <w:rsid w:val="00ED5BBB"/>
    <w:rsid w:val="00ED66D1"/>
    <w:rsid w:val="00EE03E8"/>
    <w:rsid w:val="00EE099E"/>
    <w:rsid w:val="00EE140F"/>
    <w:rsid w:val="00EE195E"/>
    <w:rsid w:val="00EE2680"/>
    <w:rsid w:val="00EE3B37"/>
    <w:rsid w:val="00EE55CD"/>
    <w:rsid w:val="00EE5730"/>
    <w:rsid w:val="00EE5772"/>
    <w:rsid w:val="00EE6556"/>
    <w:rsid w:val="00EE6AC3"/>
    <w:rsid w:val="00EE76D0"/>
    <w:rsid w:val="00EF088E"/>
    <w:rsid w:val="00EF0DE5"/>
    <w:rsid w:val="00EF1902"/>
    <w:rsid w:val="00EF213F"/>
    <w:rsid w:val="00EF24D7"/>
    <w:rsid w:val="00EF2C47"/>
    <w:rsid w:val="00EF34F4"/>
    <w:rsid w:val="00EF471F"/>
    <w:rsid w:val="00EF473B"/>
    <w:rsid w:val="00EF4941"/>
    <w:rsid w:val="00EF55C9"/>
    <w:rsid w:val="00EF5C94"/>
    <w:rsid w:val="00EF5E80"/>
    <w:rsid w:val="00EF60F7"/>
    <w:rsid w:val="00EF6A0B"/>
    <w:rsid w:val="00EF7762"/>
    <w:rsid w:val="00EF7AC5"/>
    <w:rsid w:val="00F007AA"/>
    <w:rsid w:val="00F00844"/>
    <w:rsid w:val="00F00EA2"/>
    <w:rsid w:val="00F0179C"/>
    <w:rsid w:val="00F034F2"/>
    <w:rsid w:val="00F04056"/>
    <w:rsid w:val="00F0582C"/>
    <w:rsid w:val="00F05F24"/>
    <w:rsid w:val="00F06EF2"/>
    <w:rsid w:val="00F10D07"/>
    <w:rsid w:val="00F10DE6"/>
    <w:rsid w:val="00F11100"/>
    <w:rsid w:val="00F11282"/>
    <w:rsid w:val="00F11E19"/>
    <w:rsid w:val="00F12BCE"/>
    <w:rsid w:val="00F12F67"/>
    <w:rsid w:val="00F138F4"/>
    <w:rsid w:val="00F13B16"/>
    <w:rsid w:val="00F13EBA"/>
    <w:rsid w:val="00F1418A"/>
    <w:rsid w:val="00F14DF2"/>
    <w:rsid w:val="00F16DF5"/>
    <w:rsid w:val="00F201CD"/>
    <w:rsid w:val="00F20604"/>
    <w:rsid w:val="00F21670"/>
    <w:rsid w:val="00F21787"/>
    <w:rsid w:val="00F21F79"/>
    <w:rsid w:val="00F2478B"/>
    <w:rsid w:val="00F2498C"/>
    <w:rsid w:val="00F25532"/>
    <w:rsid w:val="00F25820"/>
    <w:rsid w:val="00F266AA"/>
    <w:rsid w:val="00F26F3C"/>
    <w:rsid w:val="00F30128"/>
    <w:rsid w:val="00F30793"/>
    <w:rsid w:val="00F309D9"/>
    <w:rsid w:val="00F31FED"/>
    <w:rsid w:val="00F31FF9"/>
    <w:rsid w:val="00F32406"/>
    <w:rsid w:val="00F32C03"/>
    <w:rsid w:val="00F3357A"/>
    <w:rsid w:val="00F33E42"/>
    <w:rsid w:val="00F34B72"/>
    <w:rsid w:val="00F357AE"/>
    <w:rsid w:val="00F36262"/>
    <w:rsid w:val="00F366EB"/>
    <w:rsid w:val="00F36CF9"/>
    <w:rsid w:val="00F375F2"/>
    <w:rsid w:val="00F409B7"/>
    <w:rsid w:val="00F40C27"/>
    <w:rsid w:val="00F40D0F"/>
    <w:rsid w:val="00F41A86"/>
    <w:rsid w:val="00F42487"/>
    <w:rsid w:val="00F4333B"/>
    <w:rsid w:val="00F43BB8"/>
    <w:rsid w:val="00F445DD"/>
    <w:rsid w:val="00F469D9"/>
    <w:rsid w:val="00F4716F"/>
    <w:rsid w:val="00F50364"/>
    <w:rsid w:val="00F514BD"/>
    <w:rsid w:val="00F5189E"/>
    <w:rsid w:val="00F51DB2"/>
    <w:rsid w:val="00F51E72"/>
    <w:rsid w:val="00F52208"/>
    <w:rsid w:val="00F52262"/>
    <w:rsid w:val="00F5240C"/>
    <w:rsid w:val="00F52430"/>
    <w:rsid w:val="00F54217"/>
    <w:rsid w:val="00F55268"/>
    <w:rsid w:val="00F55566"/>
    <w:rsid w:val="00F56508"/>
    <w:rsid w:val="00F57019"/>
    <w:rsid w:val="00F57409"/>
    <w:rsid w:val="00F574B4"/>
    <w:rsid w:val="00F60475"/>
    <w:rsid w:val="00F60919"/>
    <w:rsid w:val="00F634F2"/>
    <w:rsid w:val="00F63A08"/>
    <w:rsid w:val="00F640F9"/>
    <w:rsid w:val="00F64AA3"/>
    <w:rsid w:val="00F64DF5"/>
    <w:rsid w:val="00F6519E"/>
    <w:rsid w:val="00F6678E"/>
    <w:rsid w:val="00F6699B"/>
    <w:rsid w:val="00F673D8"/>
    <w:rsid w:val="00F67E04"/>
    <w:rsid w:val="00F7200B"/>
    <w:rsid w:val="00F7228A"/>
    <w:rsid w:val="00F73974"/>
    <w:rsid w:val="00F73CDF"/>
    <w:rsid w:val="00F74895"/>
    <w:rsid w:val="00F748C8"/>
    <w:rsid w:val="00F74E92"/>
    <w:rsid w:val="00F75F39"/>
    <w:rsid w:val="00F77515"/>
    <w:rsid w:val="00F77F87"/>
    <w:rsid w:val="00F83480"/>
    <w:rsid w:val="00F839BE"/>
    <w:rsid w:val="00F841BD"/>
    <w:rsid w:val="00F8426E"/>
    <w:rsid w:val="00F848E6"/>
    <w:rsid w:val="00F84D3B"/>
    <w:rsid w:val="00F85034"/>
    <w:rsid w:val="00F85425"/>
    <w:rsid w:val="00F85784"/>
    <w:rsid w:val="00F86238"/>
    <w:rsid w:val="00F86577"/>
    <w:rsid w:val="00F87550"/>
    <w:rsid w:val="00F9046C"/>
    <w:rsid w:val="00F90F5B"/>
    <w:rsid w:val="00F913D4"/>
    <w:rsid w:val="00F91DC0"/>
    <w:rsid w:val="00F9331A"/>
    <w:rsid w:val="00F93C66"/>
    <w:rsid w:val="00F93D8C"/>
    <w:rsid w:val="00F940F9"/>
    <w:rsid w:val="00F945AD"/>
    <w:rsid w:val="00F945B3"/>
    <w:rsid w:val="00F95DF1"/>
    <w:rsid w:val="00F95F83"/>
    <w:rsid w:val="00F963D4"/>
    <w:rsid w:val="00F97E7D"/>
    <w:rsid w:val="00FA1032"/>
    <w:rsid w:val="00FA136F"/>
    <w:rsid w:val="00FA1588"/>
    <w:rsid w:val="00FA2330"/>
    <w:rsid w:val="00FA2F68"/>
    <w:rsid w:val="00FA32D7"/>
    <w:rsid w:val="00FA3E44"/>
    <w:rsid w:val="00FA43E4"/>
    <w:rsid w:val="00FA4EF6"/>
    <w:rsid w:val="00FA5BE8"/>
    <w:rsid w:val="00FA61E0"/>
    <w:rsid w:val="00FA6C03"/>
    <w:rsid w:val="00FA719C"/>
    <w:rsid w:val="00FA73A7"/>
    <w:rsid w:val="00FA7BC1"/>
    <w:rsid w:val="00FB0238"/>
    <w:rsid w:val="00FB27F5"/>
    <w:rsid w:val="00FB2B1E"/>
    <w:rsid w:val="00FB39C9"/>
    <w:rsid w:val="00FB3ABD"/>
    <w:rsid w:val="00FB3CED"/>
    <w:rsid w:val="00FB3F37"/>
    <w:rsid w:val="00FB41F7"/>
    <w:rsid w:val="00FB494C"/>
    <w:rsid w:val="00FB4E0C"/>
    <w:rsid w:val="00FB5368"/>
    <w:rsid w:val="00FB6D82"/>
    <w:rsid w:val="00FB6DAD"/>
    <w:rsid w:val="00FB7920"/>
    <w:rsid w:val="00FB7C4B"/>
    <w:rsid w:val="00FC1760"/>
    <w:rsid w:val="00FC2839"/>
    <w:rsid w:val="00FC414A"/>
    <w:rsid w:val="00FC4AC2"/>
    <w:rsid w:val="00FC5301"/>
    <w:rsid w:val="00FC5B0C"/>
    <w:rsid w:val="00FC5DD1"/>
    <w:rsid w:val="00FC7A92"/>
    <w:rsid w:val="00FC7F8F"/>
    <w:rsid w:val="00FD038A"/>
    <w:rsid w:val="00FD048F"/>
    <w:rsid w:val="00FD0C2F"/>
    <w:rsid w:val="00FD178A"/>
    <w:rsid w:val="00FD1D71"/>
    <w:rsid w:val="00FD2392"/>
    <w:rsid w:val="00FD4748"/>
    <w:rsid w:val="00FD4BD1"/>
    <w:rsid w:val="00FD4C7D"/>
    <w:rsid w:val="00FD4F1B"/>
    <w:rsid w:val="00FD5717"/>
    <w:rsid w:val="00FD7721"/>
    <w:rsid w:val="00FD7EEC"/>
    <w:rsid w:val="00FE0482"/>
    <w:rsid w:val="00FE05DE"/>
    <w:rsid w:val="00FE18A0"/>
    <w:rsid w:val="00FE2C6C"/>
    <w:rsid w:val="00FE3A12"/>
    <w:rsid w:val="00FE4297"/>
    <w:rsid w:val="00FE4467"/>
    <w:rsid w:val="00FE48FE"/>
    <w:rsid w:val="00FE4AA6"/>
    <w:rsid w:val="00FE4ED1"/>
    <w:rsid w:val="00FE6280"/>
    <w:rsid w:val="00FE6341"/>
    <w:rsid w:val="00FE7A45"/>
    <w:rsid w:val="00FF04FF"/>
    <w:rsid w:val="00FF12D2"/>
    <w:rsid w:val="00FF1404"/>
    <w:rsid w:val="00FF150E"/>
    <w:rsid w:val="00FF16FF"/>
    <w:rsid w:val="00FF18C0"/>
    <w:rsid w:val="00FF2035"/>
    <w:rsid w:val="00FF2542"/>
    <w:rsid w:val="00FF28B7"/>
    <w:rsid w:val="00FF38F2"/>
    <w:rsid w:val="00FF3D60"/>
    <w:rsid w:val="00FF3EAC"/>
    <w:rsid w:val="00FF4783"/>
    <w:rsid w:val="00FF4992"/>
    <w:rsid w:val="00FF563D"/>
    <w:rsid w:val="00FF620E"/>
    <w:rsid w:val="00FF643D"/>
    <w:rsid w:val="00FF6451"/>
    <w:rsid w:val="00FF7CD4"/>
    <w:rsid w:val="01CC5388"/>
    <w:rsid w:val="01F52FEB"/>
    <w:rsid w:val="02087C76"/>
    <w:rsid w:val="02426636"/>
    <w:rsid w:val="02D643DC"/>
    <w:rsid w:val="03B0049B"/>
    <w:rsid w:val="04722109"/>
    <w:rsid w:val="04E900BB"/>
    <w:rsid w:val="05481142"/>
    <w:rsid w:val="05754D6C"/>
    <w:rsid w:val="05F43034"/>
    <w:rsid w:val="0651072A"/>
    <w:rsid w:val="06683E10"/>
    <w:rsid w:val="06826BED"/>
    <w:rsid w:val="06A649CA"/>
    <w:rsid w:val="077F1214"/>
    <w:rsid w:val="07AB1F28"/>
    <w:rsid w:val="08287DF5"/>
    <w:rsid w:val="082B11B0"/>
    <w:rsid w:val="08470494"/>
    <w:rsid w:val="08993F77"/>
    <w:rsid w:val="09257496"/>
    <w:rsid w:val="09E65B30"/>
    <w:rsid w:val="0A257CF2"/>
    <w:rsid w:val="0ADF4D11"/>
    <w:rsid w:val="0B7044D3"/>
    <w:rsid w:val="0BC82911"/>
    <w:rsid w:val="0C245E65"/>
    <w:rsid w:val="0C363B7C"/>
    <w:rsid w:val="0C932D74"/>
    <w:rsid w:val="0CD62950"/>
    <w:rsid w:val="0D215C21"/>
    <w:rsid w:val="0D5770C7"/>
    <w:rsid w:val="0D77710A"/>
    <w:rsid w:val="0DE01C47"/>
    <w:rsid w:val="0E014494"/>
    <w:rsid w:val="0E073567"/>
    <w:rsid w:val="0E1D52AA"/>
    <w:rsid w:val="0E803068"/>
    <w:rsid w:val="0EE56C62"/>
    <w:rsid w:val="0F105768"/>
    <w:rsid w:val="10215DEF"/>
    <w:rsid w:val="104C682F"/>
    <w:rsid w:val="10641588"/>
    <w:rsid w:val="119503CC"/>
    <w:rsid w:val="12545D5E"/>
    <w:rsid w:val="12615ED1"/>
    <w:rsid w:val="137A01D6"/>
    <w:rsid w:val="13D47EAC"/>
    <w:rsid w:val="14252B33"/>
    <w:rsid w:val="14985B51"/>
    <w:rsid w:val="159334A4"/>
    <w:rsid w:val="15B243C3"/>
    <w:rsid w:val="15B62300"/>
    <w:rsid w:val="15CB10AB"/>
    <w:rsid w:val="16AC6C78"/>
    <w:rsid w:val="17174A5C"/>
    <w:rsid w:val="17232C1F"/>
    <w:rsid w:val="17402E93"/>
    <w:rsid w:val="17C43E60"/>
    <w:rsid w:val="182E38D8"/>
    <w:rsid w:val="18420E6C"/>
    <w:rsid w:val="186D707D"/>
    <w:rsid w:val="196E79B5"/>
    <w:rsid w:val="19E44002"/>
    <w:rsid w:val="1A2163FB"/>
    <w:rsid w:val="1B0961ED"/>
    <w:rsid w:val="1C3719B6"/>
    <w:rsid w:val="1CBC5C5B"/>
    <w:rsid w:val="1DB57CED"/>
    <w:rsid w:val="1EC5711B"/>
    <w:rsid w:val="1FF26321"/>
    <w:rsid w:val="2055511E"/>
    <w:rsid w:val="211B5B81"/>
    <w:rsid w:val="21283842"/>
    <w:rsid w:val="218D4F00"/>
    <w:rsid w:val="218E51C9"/>
    <w:rsid w:val="21C2441F"/>
    <w:rsid w:val="22337017"/>
    <w:rsid w:val="226825F8"/>
    <w:rsid w:val="227D6BA0"/>
    <w:rsid w:val="23500A7A"/>
    <w:rsid w:val="241B7A2B"/>
    <w:rsid w:val="246D3FF2"/>
    <w:rsid w:val="24A0126F"/>
    <w:rsid w:val="25693D2A"/>
    <w:rsid w:val="26136EE3"/>
    <w:rsid w:val="267250F2"/>
    <w:rsid w:val="26FC1DB2"/>
    <w:rsid w:val="272E73CA"/>
    <w:rsid w:val="27403EA8"/>
    <w:rsid w:val="27506859"/>
    <w:rsid w:val="27A578BA"/>
    <w:rsid w:val="27D245B0"/>
    <w:rsid w:val="28930984"/>
    <w:rsid w:val="28C645A7"/>
    <w:rsid w:val="28E2290C"/>
    <w:rsid w:val="28E2563F"/>
    <w:rsid w:val="29DF05EB"/>
    <w:rsid w:val="2A666490"/>
    <w:rsid w:val="2B355F5E"/>
    <w:rsid w:val="2B692F44"/>
    <w:rsid w:val="2B9E5744"/>
    <w:rsid w:val="2BCB4CA1"/>
    <w:rsid w:val="2BFA1BCC"/>
    <w:rsid w:val="2CA75337"/>
    <w:rsid w:val="2DEA4657"/>
    <w:rsid w:val="2DEC2C62"/>
    <w:rsid w:val="2DF56EAD"/>
    <w:rsid w:val="2E3803D8"/>
    <w:rsid w:val="2EA92D2A"/>
    <w:rsid w:val="2F3E6169"/>
    <w:rsid w:val="2F4200A9"/>
    <w:rsid w:val="2FAB7B24"/>
    <w:rsid w:val="2FEB0E2F"/>
    <w:rsid w:val="30EF6959"/>
    <w:rsid w:val="315A0677"/>
    <w:rsid w:val="31894326"/>
    <w:rsid w:val="328D6D53"/>
    <w:rsid w:val="338D02DB"/>
    <w:rsid w:val="3447419E"/>
    <w:rsid w:val="344D2773"/>
    <w:rsid w:val="34D76783"/>
    <w:rsid w:val="35D76DBA"/>
    <w:rsid w:val="36950618"/>
    <w:rsid w:val="36D969F7"/>
    <w:rsid w:val="37296585"/>
    <w:rsid w:val="37543A2A"/>
    <w:rsid w:val="37D01877"/>
    <w:rsid w:val="387D1B40"/>
    <w:rsid w:val="38C05494"/>
    <w:rsid w:val="39064188"/>
    <w:rsid w:val="392B4632"/>
    <w:rsid w:val="39616566"/>
    <w:rsid w:val="39EA6316"/>
    <w:rsid w:val="3A295714"/>
    <w:rsid w:val="3A874278"/>
    <w:rsid w:val="3AA95A9F"/>
    <w:rsid w:val="3B0C5D1D"/>
    <w:rsid w:val="3B2E639D"/>
    <w:rsid w:val="3B751A9B"/>
    <w:rsid w:val="3B7C0CE4"/>
    <w:rsid w:val="3BBB5785"/>
    <w:rsid w:val="3BD00077"/>
    <w:rsid w:val="3CA22C6D"/>
    <w:rsid w:val="3CB469A7"/>
    <w:rsid w:val="3E7D379B"/>
    <w:rsid w:val="3F633A15"/>
    <w:rsid w:val="3F773F29"/>
    <w:rsid w:val="3FEB6ADA"/>
    <w:rsid w:val="40651E55"/>
    <w:rsid w:val="407406DB"/>
    <w:rsid w:val="407D5AFE"/>
    <w:rsid w:val="40B85867"/>
    <w:rsid w:val="418A4979"/>
    <w:rsid w:val="42731A49"/>
    <w:rsid w:val="427331D0"/>
    <w:rsid w:val="439E681F"/>
    <w:rsid w:val="445615AB"/>
    <w:rsid w:val="448F0FCD"/>
    <w:rsid w:val="45825E44"/>
    <w:rsid w:val="46DD3004"/>
    <w:rsid w:val="47DA5982"/>
    <w:rsid w:val="48FE0EA0"/>
    <w:rsid w:val="492D296C"/>
    <w:rsid w:val="49371A66"/>
    <w:rsid w:val="497F70E3"/>
    <w:rsid w:val="49880263"/>
    <w:rsid w:val="498C2035"/>
    <w:rsid w:val="4A8A4526"/>
    <w:rsid w:val="4AE94219"/>
    <w:rsid w:val="4BC53661"/>
    <w:rsid w:val="4BF95AF1"/>
    <w:rsid w:val="4C4D3164"/>
    <w:rsid w:val="4C7547D5"/>
    <w:rsid w:val="4C823D12"/>
    <w:rsid w:val="4CA83B47"/>
    <w:rsid w:val="4CDD3B77"/>
    <w:rsid w:val="4CDE4EB5"/>
    <w:rsid w:val="4CF62EC3"/>
    <w:rsid w:val="4E794727"/>
    <w:rsid w:val="4EB75DAF"/>
    <w:rsid w:val="4EE24AB3"/>
    <w:rsid w:val="4EF811DB"/>
    <w:rsid w:val="4F293A0C"/>
    <w:rsid w:val="4FE54738"/>
    <w:rsid w:val="4FE90420"/>
    <w:rsid w:val="51145E70"/>
    <w:rsid w:val="51277CC2"/>
    <w:rsid w:val="519A1BA5"/>
    <w:rsid w:val="51CC04EB"/>
    <w:rsid w:val="52177C3C"/>
    <w:rsid w:val="52195439"/>
    <w:rsid w:val="52DC7C3B"/>
    <w:rsid w:val="53216C6D"/>
    <w:rsid w:val="53356A84"/>
    <w:rsid w:val="5373750E"/>
    <w:rsid w:val="53F506AB"/>
    <w:rsid w:val="5679137E"/>
    <w:rsid w:val="56B16F90"/>
    <w:rsid w:val="58221BB4"/>
    <w:rsid w:val="585D1EDF"/>
    <w:rsid w:val="593F06E9"/>
    <w:rsid w:val="595364EE"/>
    <w:rsid w:val="597040DD"/>
    <w:rsid w:val="599E0BCE"/>
    <w:rsid w:val="5A124A93"/>
    <w:rsid w:val="5A786C36"/>
    <w:rsid w:val="5ACD19B4"/>
    <w:rsid w:val="5B276CFF"/>
    <w:rsid w:val="5B2B2A5C"/>
    <w:rsid w:val="5B3D5296"/>
    <w:rsid w:val="5BE11490"/>
    <w:rsid w:val="5C2A48E5"/>
    <w:rsid w:val="5C5E6751"/>
    <w:rsid w:val="5D785F1C"/>
    <w:rsid w:val="5D8D1635"/>
    <w:rsid w:val="5DAD436A"/>
    <w:rsid w:val="5DD26C71"/>
    <w:rsid w:val="5E541A00"/>
    <w:rsid w:val="5EC9677C"/>
    <w:rsid w:val="5F74216E"/>
    <w:rsid w:val="5FA87A60"/>
    <w:rsid w:val="5FAF4A5B"/>
    <w:rsid w:val="61FA41B3"/>
    <w:rsid w:val="62581F12"/>
    <w:rsid w:val="62592DC8"/>
    <w:rsid w:val="62D85AE1"/>
    <w:rsid w:val="630A2701"/>
    <w:rsid w:val="639A0A3C"/>
    <w:rsid w:val="63E53C6D"/>
    <w:rsid w:val="63F016FA"/>
    <w:rsid w:val="649D7AFB"/>
    <w:rsid w:val="655A6F77"/>
    <w:rsid w:val="65981D5A"/>
    <w:rsid w:val="65B01884"/>
    <w:rsid w:val="66D86A44"/>
    <w:rsid w:val="66E15E08"/>
    <w:rsid w:val="672B25F9"/>
    <w:rsid w:val="67560E36"/>
    <w:rsid w:val="684452A9"/>
    <w:rsid w:val="688103B0"/>
    <w:rsid w:val="688776B6"/>
    <w:rsid w:val="68F42EEA"/>
    <w:rsid w:val="69224CB3"/>
    <w:rsid w:val="6A310E9F"/>
    <w:rsid w:val="6B19517D"/>
    <w:rsid w:val="6B274103"/>
    <w:rsid w:val="6B770F91"/>
    <w:rsid w:val="6C0E0B7E"/>
    <w:rsid w:val="6C481B79"/>
    <w:rsid w:val="6C4B13D1"/>
    <w:rsid w:val="6C8D6DD7"/>
    <w:rsid w:val="6CAA4E31"/>
    <w:rsid w:val="6D73404B"/>
    <w:rsid w:val="6DA93888"/>
    <w:rsid w:val="6DEA22F8"/>
    <w:rsid w:val="6DF72058"/>
    <w:rsid w:val="6ED96C7B"/>
    <w:rsid w:val="6EF94E1F"/>
    <w:rsid w:val="6F4D1259"/>
    <w:rsid w:val="6F9A1EC4"/>
    <w:rsid w:val="6FF12A18"/>
    <w:rsid w:val="701D076E"/>
    <w:rsid w:val="701F1D05"/>
    <w:rsid w:val="704963C0"/>
    <w:rsid w:val="7050088A"/>
    <w:rsid w:val="707753E9"/>
    <w:rsid w:val="716821F8"/>
    <w:rsid w:val="71C2587E"/>
    <w:rsid w:val="71E372BB"/>
    <w:rsid w:val="72966774"/>
    <w:rsid w:val="729946DD"/>
    <w:rsid w:val="72C91007"/>
    <w:rsid w:val="73FA1278"/>
    <w:rsid w:val="73FE1521"/>
    <w:rsid w:val="741D4E3B"/>
    <w:rsid w:val="743A3925"/>
    <w:rsid w:val="746C501B"/>
    <w:rsid w:val="74D43BFF"/>
    <w:rsid w:val="757B7CE1"/>
    <w:rsid w:val="75802AD7"/>
    <w:rsid w:val="76534C90"/>
    <w:rsid w:val="76BF37ED"/>
    <w:rsid w:val="774968A7"/>
    <w:rsid w:val="77600663"/>
    <w:rsid w:val="77D21876"/>
    <w:rsid w:val="77E3682E"/>
    <w:rsid w:val="784B3C7E"/>
    <w:rsid w:val="78E472AE"/>
    <w:rsid w:val="790F7F7A"/>
    <w:rsid w:val="794B4D38"/>
    <w:rsid w:val="7A495681"/>
    <w:rsid w:val="7B5402A7"/>
    <w:rsid w:val="7B7902E8"/>
    <w:rsid w:val="7C034873"/>
    <w:rsid w:val="7C8613AC"/>
    <w:rsid w:val="7CBE5259"/>
    <w:rsid w:val="7D0361ED"/>
    <w:rsid w:val="7D32526E"/>
    <w:rsid w:val="7D357824"/>
    <w:rsid w:val="7D841EF6"/>
    <w:rsid w:val="7DA336C2"/>
    <w:rsid w:val="7DEA5C34"/>
    <w:rsid w:val="7DFE04B4"/>
    <w:rsid w:val="7E3A3FA0"/>
    <w:rsid w:val="7EB37BD6"/>
    <w:rsid w:val="7EF307AC"/>
    <w:rsid w:val="7F6D4DC0"/>
    <w:rsid w:val="7F711AFB"/>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0"/>
    <w:qFormat/>
    <w:uiPriority w:val="9"/>
    <w:pPr>
      <w:keepNext/>
      <w:keepLines/>
      <w:tabs>
        <w:tab w:val="left" w:pos="360"/>
      </w:tabs>
      <w:adjustRightInd w:val="0"/>
      <w:spacing w:before="120" w:line="360" w:lineRule="auto"/>
      <w:ind w:left="284" w:hanging="284"/>
      <w:textAlignment w:val="baseline"/>
      <w:outlineLvl w:val="0"/>
    </w:pPr>
    <w:rPr>
      <w:b/>
      <w:bCs/>
      <w:kern w:val="44"/>
      <w:sz w:val="44"/>
      <w:szCs w:val="44"/>
    </w:rPr>
  </w:style>
  <w:style w:type="paragraph" w:styleId="4">
    <w:name w:val="heading 2"/>
    <w:basedOn w:val="1"/>
    <w:next w:val="1"/>
    <w:link w:val="46"/>
    <w:qFormat/>
    <w:uiPriority w:val="0"/>
    <w:pPr>
      <w:keepNext/>
      <w:tabs>
        <w:tab w:val="left" w:pos="360"/>
        <w:tab w:val="left" w:pos="1021"/>
      </w:tabs>
      <w:adjustRightInd w:val="0"/>
      <w:spacing w:before="120" w:line="360" w:lineRule="auto"/>
      <w:ind w:left="1021" w:hanging="596"/>
      <w:textAlignment w:val="baseline"/>
      <w:outlineLvl w:val="1"/>
    </w:pPr>
    <w:rPr>
      <w:rFonts w:eastAsia="黑体"/>
      <w:b/>
      <w:kern w:val="0"/>
      <w:sz w:val="28"/>
      <w:szCs w:val="20"/>
    </w:rPr>
  </w:style>
  <w:style w:type="paragraph" w:styleId="5">
    <w:name w:val="heading 3"/>
    <w:basedOn w:val="1"/>
    <w:next w:val="1"/>
    <w:link w:val="75"/>
    <w:qFormat/>
    <w:uiPriority w:val="9"/>
    <w:pPr>
      <w:tabs>
        <w:tab w:val="left" w:pos="360"/>
        <w:tab w:val="left" w:pos="900"/>
        <w:tab w:val="left" w:pos="1588"/>
      </w:tabs>
      <w:adjustRightInd w:val="0"/>
      <w:spacing w:before="120" w:line="360" w:lineRule="auto"/>
      <w:ind w:left="1588" w:hanging="737"/>
      <w:textAlignment w:val="baseline"/>
      <w:outlineLvl w:val="2"/>
    </w:pPr>
    <w:rPr>
      <w:b/>
      <w:bCs/>
      <w:kern w:val="0"/>
      <w:sz w:val="32"/>
      <w:szCs w:val="32"/>
    </w:rPr>
  </w:style>
  <w:style w:type="paragraph" w:styleId="6">
    <w:name w:val="heading 4"/>
    <w:basedOn w:val="1"/>
    <w:next w:val="1"/>
    <w:link w:val="54"/>
    <w:qFormat/>
    <w:uiPriority w:val="9"/>
    <w:pPr>
      <w:tabs>
        <w:tab w:val="left" w:pos="2155"/>
      </w:tabs>
      <w:adjustRightInd w:val="0"/>
      <w:spacing w:before="120" w:line="360" w:lineRule="auto"/>
      <w:ind w:left="2155" w:hanging="1078"/>
      <w:textAlignment w:val="baseline"/>
      <w:outlineLvl w:val="3"/>
    </w:pPr>
    <w:rPr>
      <w:rFonts w:ascii="Cambria" w:hAnsi="Cambria"/>
      <w:b/>
      <w:bCs/>
      <w:kern w:val="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qFormat/>
    <w:uiPriority w:val="99"/>
    <w:pPr>
      <w:ind w:left="1260"/>
      <w:jc w:val="left"/>
    </w:pPr>
    <w:rPr>
      <w:sz w:val="18"/>
      <w:szCs w:val="18"/>
    </w:rPr>
  </w:style>
  <w:style w:type="paragraph" w:styleId="8">
    <w:name w:val="Normal Indent"/>
    <w:basedOn w:val="1"/>
    <w:link w:val="45"/>
    <w:qFormat/>
    <w:uiPriority w:val="99"/>
    <w:pPr>
      <w:ind w:firstLine="420"/>
    </w:pPr>
    <w:rPr>
      <w:szCs w:val="20"/>
    </w:rPr>
  </w:style>
  <w:style w:type="paragraph" w:styleId="9">
    <w:name w:val="Document Map"/>
    <w:basedOn w:val="1"/>
    <w:link w:val="73"/>
    <w:qFormat/>
    <w:uiPriority w:val="99"/>
    <w:pPr>
      <w:shd w:val="clear" w:color="auto" w:fill="000080"/>
    </w:pPr>
    <w:rPr>
      <w:kern w:val="0"/>
      <w:sz w:val="2"/>
      <w:szCs w:val="20"/>
    </w:rPr>
  </w:style>
  <w:style w:type="paragraph" w:styleId="10">
    <w:name w:val="toa heading"/>
    <w:basedOn w:val="1"/>
    <w:next w:val="1"/>
    <w:qFormat/>
    <w:uiPriority w:val="0"/>
    <w:pPr>
      <w:spacing w:before="120"/>
    </w:pPr>
    <w:rPr>
      <w:rFonts w:ascii="Cambria" w:hAnsi="Cambria"/>
    </w:rPr>
  </w:style>
  <w:style w:type="paragraph" w:styleId="11">
    <w:name w:val="annotation text"/>
    <w:basedOn w:val="1"/>
    <w:link w:val="81"/>
    <w:semiHidden/>
    <w:qFormat/>
    <w:uiPriority w:val="99"/>
    <w:pPr>
      <w:jc w:val="left"/>
    </w:pPr>
    <w:rPr>
      <w:kern w:val="0"/>
      <w:sz w:val="24"/>
    </w:rPr>
  </w:style>
  <w:style w:type="paragraph" w:styleId="12">
    <w:name w:val="Body Text 3"/>
    <w:basedOn w:val="1"/>
    <w:link w:val="70"/>
    <w:qFormat/>
    <w:uiPriority w:val="99"/>
    <w:rPr>
      <w:kern w:val="0"/>
      <w:sz w:val="16"/>
      <w:szCs w:val="16"/>
    </w:rPr>
  </w:style>
  <w:style w:type="paragraph" w:styleId="13">
    <w:name w:val="Body Text"/>
    <w:basedOn w:val="1"/>
    <w:link w:val="56"/>
    <w:qFormat/>
    <w:uiPriority w:val="99"/>
    <w:rPr>
      <w:kern w:val="0"/>
      <w:sz w:val="24"/>
    </w:rPr>
  </w:style>
  <w:style w:type="paragraph" w:styleId="14">
    <w:name w:val="Body Text Indent"/>
    <w:basedOn w:val="1"/>
    <w:link w:val="68"/>
    <w:qFormat/>
    <w:uiPriority w:val="99"/>
    <w:pPr>
      <w:spacing w:line="200" w:lineRule="exact"/>
      <w:ind w:firstLine="301"/>
    </w:pPr>
    <w:rPr>
      <w:kern w:val="0"/>
      <w:sz w:val="24"/>
    </w:rPr>
  </w:style>
  <w:style w:type="paragraph" w:styleId="15">
    <w:name w:val="toc 5"/>
    <w:basedOn w:val="1"/>
    <w:next w:val="1"/>
    <w:qFormat/>
    <w:uiPriority w:val="99"/>
    <w:pPr>
      <w:ind w:left="840"/>
      <w:jc w:val="left"/>
    </w:pPr>
    <w:rPr>
      <w:sz w:val="18"/>
      <w:szCs w:val="18"/>
    </w:rPr>
  </w:style>
  <w:style w:type="paragraph" w:styleId="16">
    <w:name w:val="toc 3"/>
    <w:basedOn w:val="1"/>
    <w:next w:val="1"/>
    <w:qFormat/>
    <w:uiPriority w:val="39"/>
    <w:pPr>
      <w:ind w:left="300" w:leftChars="300"/>
      <w:jc w:val="left"/>
    </w:pPr>
    <w:rPr>
      <w:iCs/>
      <w:szCs w:val="20"/>
    </w:rPr>
  </w:style>
  <w:style w:type="paragraph" w:styleId="17">
    <w:name w:val="Plain Text"/>
    <w:basedOn w:val="1"/>
    <w:link w:val="52"/>
    <w:qFormat/>
    <w:uiPriority w:val="0"/>
    <w:rPr>
      <w:rFonts w:ascii="宋体"/>
      <w:szCs w:val="20"/>
    </w:rPr>
  </w:style>
  <w:style w:type="paragraph" w:styleId="18">
    <w:name w:val="toc 8"/>
    <w:basedOn w:val="1"/>
    <w:next w:val="1"/>
    <w:qFormat/>
    <w:uiPriority w:val="99"/>
    <w:pPr>
      <w:ind w:left="1470"/>
      <w:jc w:val="left"/>
    </w:pPr>
    <w:rPr>
      <w:sz w:val="18"/>
      <w:szCs w:val="18"/>
    </w:rPr>
  </w:style>
  <w:style w:type="paragraph" w:styleId="19">
    <w:name w:val="Date"/>
    <w:basedOn w:val="1"/>
    <w:next w:val="1"/>
    <w:link w:val="57"/>
    <w:qFormat/>
    <w:uiPriority w:val="99"/>
    <w:pPr>
      <w:ind w:left="100" w:leftChars="2500"/>
    </w:pPr>
    <w:rPr>
      <w:kern w:val="0"/>
      <w:sz w:val="24"/>
    </w:rPr>
  </w:style>
  <w:style w:type="paragraph" w:styleId="20">
    <w:name w:val="Body Text Indent 2"/>
    <w:basedOn w:val="1"/>
    <w:link w:val="50"/>
    <w:qFormat/>
    <w:uiPriority w:val="99"/>
    <w:pPr>
      <w:spacing w:after="120" w:line="480" w:lineRule="auto"/>
      <w:ind w:left="200" w:leftChars="200"/>
    </w:pPr>
    <w:rPr>
      <w:kern w:val="0"/>
      <w:sz w:val="24"/>
    </w:rPr>
  </w:style>
  <w:style w:type="paragraph" w:styleId="21">
    <w:name w:val="Balloon Text"/>
    <w:basedOn w:val="1"/>
    <w:link w:val="79"/>
    <w:qFormat/>
    <w:uiPriority w:val="99"/>
    <w:rPr>
      <w:sz w:val="18"/>
      <w:szCs w:val="20"/>
    </w:rPr>
  </w:style>
  <w:style w:type="paragraph" w:styleId="22">
    <w:name w:val="footer"/>
    <w:basedOn w:val="1"/>
    <w:link w:val="59"/>
    <w:qFormat/>
    <w:uiPriority w:val="99"/>
    <w:pPr>
      <w:tabs>
        <w:tab w:val="center" w:pos="4153"/>
        <w:tab w:val="right" w:pos="8306"/>
      </w:tabs>
      <w:snapToGrid w:val="0"/>
      <w:jc w:val="left"/>
    </w:pPr>
    <w:rPr>
      <w:sz w:val="18"/>
      <w:szCs w:val="18"/>
    </w:rPr>
  </w:style>
  <w:style w:type="paragraph" w:styleId="23">
    <w:name w:val="header"/>
    <w:basedOn w:val="1"/>
    <w:link w:val="62"/>
    <w:qFormat/>
    <w:uiPriority w:val="99"/>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adjustRightInd w:val="0"/>
      <w:spacing w:before="120" w:after="120"/>
      <w:ind w:firstLine="50" w:firstLineChars="50"/>
      <w:jc w:val="left"/>
      <w:outlineLvl w:val="0"/>
    </w:pPr>
    <w:rPr>
      <w:bCs/>
      <w:caps/>
      <w:szCs w:val="20"/>
    </w:rPr>
  </w:style>
  <w:style w:type="paragraph" w:styleId="25">
    <w:name w:val="toc 4"/>
    <w:basedOn w:val="1"/>
    <w:next w:val="1"/>
    <w:qFormat/>
    <w:uiPriority w:val="99"/>
    <w:pPr>
      <w:ind w:left="630"/>
      <w:jc w:val="left"/>
    </w:pPr>
    <w:rPr>
      <w:sz w:val="18"/>
      <w:szCs w:val="18"/>
    </w:rPr>
  </w:style>
  <w:style w:type="paragraph" w:styleId="26">
    <w:name w:val="Subtitle"/>
    <w:basedOn w:val="1"/>
    <w:next w:val="1"/>
    <w:link w:val="64"/>
    <w:qFormat/>
    <w:uiPriority w:val="99"/>
    <w:pPr>
      <w:spacing w:before="240" w:after="60" w:line="360" w:lineRule="auto"/>
      <w:jc w:val="left"/>
      <w:outlineLvl w:val="1"/>
    </w:pPr>
    <w:rPr>
      <w:rFonts w:ascii="Cambria" w:hAnsi="Cambria"/>
      <w:b/>
      <w:kern w:val="28"/>
      <w:sz w:val="32"/>
      <w:szCs w:val="32"/>
    </w:rPr>
  </w:style>
  <w:style w:type="paragraph" w:styleId="27">
    <w:name w:val="toc 6"/>
    <w:basedOn w:val="1"/>
    <w:next w:val="1"/>
    <w:qFormat/>
    <w:uiPriority w:val="99"/>
    <w:pPr>
      <w:ind w:left="1050"/>
      <w:jc w:val="left"/>
    </w:pPr>
    <w:rPr>
      <w:sz w:val="18"/>
      <w:szCs w:val="18"/>
    </w:rPr>
  </w:style>
  <w:style w:type="paragraph" w:styleId="28">
    <w:name w:val="Body Text Indent 3"/>
    <w:basedOn w:val="1"/>
    <w:link w:val="71"/>
    <w:qFormat/>
    <w:uiPriority w:val="99"/>
    <w:pPr>
      <w:spacing w:line="400" w:lineRule="exact"/>
      <w:ind w:left="360"/>
    </w:pPr>
    <w:rPr>
      <w:kern w:val="0"/>
      <w:sz w:val="16"/>
      <w:szCs w:val="16"/>
    </w:rPr>
  </w:style>
  <w:style w:type="paragraph" w:styleId="29">
    <w:name w:val="toc 2"/>
    <w:basedOn w:val="1"/>
    <w:next w:val="1"/>
    <w:qFormat/>
    <w:uiPriority w:val="39"/>
    <w:pPr>
      <w:tabs>
        <w:tab w:val="right" w:leader="dot" w:pos="9344"/>
      </w:tabs>
      <w:ind w:left="200" w:leftChars="200"/>
      <w:jc w:val="left"/>
    </w:pPr>
    <w:rPr>
      <w:smallCaps/>
      <w:szCs w:val="20"/>
    </w:rPr>
  </w:style>
  <w:style w:type="paragraph" w:styleId="30">
    <w:name w:val="toc 9"/>
    <w:basedOn w:val="1"/>
    <w:next w:val="1"/>
    <w:qFormat/>
    <w:uiPriority w:val="99"/>
    <w:pPr>
      <w:ind w:left="1680"/>
      <w:jc w:val="left"/>
    </w:pPr>
    <w:rPr>
      <w:sz w:val="18"/>
      <w:szCs w:val="18"/>
    </w:rPr>
  </w:style>
  <w:style w:type="paragraph" w:styleId="31">
    <w:name w:val="Body Text 2"/>
    <w:basedOn w:val="1"/>
    <w:link w:val="66"/>
    <w:qFormat/>
    <w:uiPriority w:val="99"/>
    <w:rPr>
      <w:kern w:val="0"/>
      <w:sz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99"/>
  </w:style>
  <w:style w:type="paragraph" w:styleId="34">
    <w:name w:val="annotation subject"/>
    <w:basedOn w:val="11"/>
    <w:next w:val="11"/>
    <w:link w:val="77"/>
    <w:semiHidden/>
    <w:qFormat/>
    <w:uiPriority w:val="99"/>
    <w:rPr>
      <w:b/>
      <w:bCs/>
    </w:rPr>
  </w:style>
  <w:style w:type="paragraph" w:styleId="35">
    <w:name w:val="Body Text First Indent"/>
    <w:basedOn w:val="1"/>
    <w:link w:val="55"/>
    <w:qFormat/>
    <w:uiPriority w:val="99"/>
    <w:pPr>
      <w:spacing w:after="120"/>
      <w:ind w:firstLine="420" w:firstLineChars="100"/>
    </w:pPr>
    <w:rPr>
      <w:kern w:val="0"/>
      <w:sz w:val="24"/>
    </w:rPr>
  </w:style>
  <w:style w:type="paragraph" w:styleId="36">
    <w:name w:val="Body Text First Indent 2"/>
    <w:basedOn w:val="14"/>
    <w:link w:val="48"/>
    <w:unhideWhenUsed/>
    <w:qFormat/>
    <w:uiPriority w:val="99"/>
    <w:pPr>
      <w:ind w:firstLine="420" w:firstLineChars="20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locked/>
    <w:uiPriority w:val="22"/>
    <w:rPr>
      <w:b/>
      <w:bCs/>
    </w:rPr>
  </w:style>
  <w:style w:type="character" w:styleId="41">
    <w:name w:val="page number"/>
    <w:qFormat/>
    <w:uiPriority w:val="99"/>
    <w:rPr>
      <w:rFonts w:ascii="仿宋_GB2312" w:eastAsia="仿宋_GB2312" w:cs="仿宋_GB2312"/>
      <w:b/>
      <w:kern w:val="2"/>
      <w:sz w:val="32"/>
      <w:szCs w:val="32"/>
    </w:rPr>
  </w:style>
  <w:style w:type="character" w:styleId="42">
    <w:name w:val="FollowedHyperlink"/>
    <w:qFormat/>
    <w:uiPriority w:val="99"/>
    <w:rPr>
      <w:rFonts w:cs="Times New Roman"/>
      <w:color w:val="555555"/>
      <w:u w:val="none"/>
    </w:rPr>
  </w:style>
  <w:style w:type="character" w:styleId="43">
    <w:name w:val="Hyperlink"/>
    <w:qFormat/>
    <w:uiPriority w:val="99"/>
    <w:rPr>
      <w:rFonts w:cs="Times New Roman"/>
      <w:color w:val="555555"/>
      <w:u w:val="none"/>
    </w:rPr>
  </w:style>
  <w:style w:type="character" w:styleId="44">
    <w:name w:val="annotation reference"/>
    <w:semiHidden/>
    <w:qFormat/>
    <w:uiPriority w:val="99"/>
    <w:rPr>
      <w:rFonts w:cs="Times New Roman"/>
      <w:sz w:val="21"/>
    </w:rPr>
  </w:style>
  <w:style w:type="character" w:customStyle="1" w:styleId="45">
    <w:name w:val="正文缩进 Char"/>
    <w:link w:val="8"/>
    <w:qFormat/>
    <w:locked/>
    <w:uiPriority w:val="99"/>
    <w:rPr>
      <w:rFonts w:eastAsia="宋体"/>
      <w:kern w:val="2"/>
      <w:sz w:val="21"/>
      <w:lang w:val="en-US" w:eastAsia="zh-CN"/>
    </w:rPr>
  </w:style>
  <w:style w:type="character" w:customStyle="1" w:styleId="46">
    <w:name w:val="标题 2 Char"/>
    <w:link w:val="4"/>
    <w:qFormat/>
    <w:locked/>
    <w:uiPriority w:val="99"/>
    <w:rPr>
      <w:rFonts w:eastAsia="黑体"/>
      <w:b/>
      <w:sz w:val="28"/>
    </w:rPr>
  </w:style>
  <w:style w:type="character" w:customStyle="1" w:styleId="47">
    <w:name w:val="font31"/>
    <w:qFormat/>
    <w:uiPriority w:val="99"/>
    <w:rPr>
      <w:rFonts w:ascii="宋体" w:hAnsi="宋体" w:eastAsia="宋体" w:cs="宋体"/>
      <w:color w:val="000000"/>
      <w:sz w:val="20"/>
      <w:szCs w:val="20"/>
      <w:u w:val="none"/>
    </w:rPr>
  </w:style>
  <w:style w:type="character" w:customStyle="1" w:styleId="48">
    <w:name w:val="正文首行缩进 2 Char"/>
    <w:link w:val="36"/>
    <w:qFormat/>
    <w:uiPriority w:val="99"/>
    <w:rPr>
      <w:sz w:val="24"/>
      <w:szCs w:val="24"/>
    </w:rPr>
  </w:style>
  <w:style w:type="character" w:customStyle="1" w:styleId="49">
    <w:name w:val="grame"/>
    <w:qFormat/>
    <w:uiPriority w:val="99"/>
    <w:rPr>
      <w:rFonts w:cs="Times New Roman"/>
    </w:rPr>
  </w:style>
  <w:style w:type="character" w:customStyle="1" w:styleId="50">
    <w:name w:val="正文文本缩进 2 Char"/>
    <w:link w:val="20"/>
    <w:semiHidden/>
    <w:qFormat/>
    <w:locked/>
    <w:uiPriority w:val="99"/>
    <w:rPr>
      <w:rFonts w:ascii="Times New Roman" w:hAnsi="Times New Roman" w:cs="Times New Roman"/>
      <w:sz w:val="24"/>
      <w:szCs w:val="24"/>
    </w:rPr>
  </w:style>
  <w:style w:type="character" w:customStyle="1" w:styleId="51">
    <w:name w:val="@他"/>
    <w:qFormat/>
    <w:uiPriority w:val="99"/>
    <w:rPr>
      <w:color w:val="2B579A"/>
      <w:shd w:val="clear" w:color="auto" w:fill="E6E6E6"/>
    </w:rPr>
  </w:style>
  <w:style w:type="character" w:customStyle="1" w:styleId="52">
    <w:name w:val="纯文本 Char1"/>
    <w:link w:val="17"/>
    <w:qFormat/>
    <w:locked/>
    <w:uiPriority w:val="0"/>
    <w:rPr>
      <w:rFonts w:ascii="宋体" w:eastAsia="宋体" w:cs="Times New Roman"/>
      <w:kern w:val="2"/>
      <w:sz w:val="21"/>
      <w:lang w:val="en-US" w:eastAsia="zh-CN"/>
    </w:rPr>
  </w:style>
  <w:style w:type="character" w:customStyle="1" w:styleId="53">
    <w:name w:val="font81"/>
    <w:qFormat/>
    <w:uiPriority w:val="0"/>
    <w:rPr>
      <w:rFonts w:hint="eastAsia" w:ascii="宋体" w:hAnsi="宋体" w:eastAsia="宋体" w:cs="宋体"/>
      <w:b/>
      <w:color w:val="000000"/>
      <w:sz w:val="22"/>
      <w:szCs w:val="22"/>
      <w:u w:val="none"/>
    </w:rPr>
  </w:style>
  <w:style w:type="character" w:customStyle="1" w:styleId="54">
    <w:name w:val="标题 4 Char"/>
    <w:link w:val="6"/>
    <w:qFormat/>
    <w:locked/>
    <w:uiPriority w:val="9"/>
    <w:rPr>
      <w:rFonts w:ascii="Cambria" w:hAnsi="Cambria"/>
      <w:b/>
      <w:bCs/>
      <w:sz w:val="28"/>
      <w:szCs w:val="28"/>
    </w:rPr>
  </w:style>
  <w:style w:type="character" w:customStyle="1" w:styleId="55">
    <w:name w:val="正文首行缩进 Char"/>
    <w:link w:val="35"/>
    <w:semiHidden/>
    <w:qFormat/>
    <w:locked/>
    <w:uiPriority w:val="99"/>
    <w:rPr>
      <w:rFonts w:ascii="Times New Roman" w:hAnsi="Times New Roman" w:cs="Times New Roman"/>
      <w:sz w:val="24"/>
      <w:szCs w:val="24"/>
    </w:rPr>
  </w:style>
  <w:style w:type="character" w:customStyle="1" w:styleId="56">
    <w:name w:val="正文文本 Char"/>
    <w:link w:val="13"/>
    <w:semiHidden/>
    <w:qFormat/>
    <w:locked/>
    <w:uiPriority w:val="99"/>
    <w:rPr>
      <w:rFonts w:ascii="Times New Roman" w:hAnsi="Times New Roman" w:cs="Times New Roman"/>
      <w:sz w:val="24"/>
      <w:szCs w:val="24"/>
    </w:rPr>
  </w:style>
  <w:style w:type="character" w:customStyle="1" w:styleId="57">
    <w:name w:val="日期 Char"/>
    <w:link w:val="19"/>
    <w:semiHidden/>
    <w:qFormat/>
    <w:locked/>
    <w:uiPriority w:val="99"/>
    <w:rPr>
      <w:rFonts w:ascii="Times New Roman" w:hAnsi="Times New Roman" w:cs="Times New Roman"/>
      <w:sz w:val="24"/>
      <w:szCs w:val="24"/>
    </w:rPr>
  </w:style>
  <w:style w:type="character" w:customStyle="1" w:styleId="58">
    <w:name w:val="font101"/>
    <w:qFormat/>
    <w:uiPriority w:val="0"/>
    <w:rPr>
      <w:rFonts w:hint="eastAsia" w:ascii="宋体" w:hAnsi="宋体" w:eastAsia="宋体" w:cs="宋体"/>
      <w:color w:val="000000"/>
      <w:sz w:val="22"/>
      <w:szCs w:val="22"/>
      <w:u w:val="none"/>
    </w:rPr>
  </w:style>
  <w:style w:type="character" w:customStyle="1" w:styleId="59">
    <w:name w:val="页脚 Char"/>
    <w:link w:val="22"/>
    <w:qFormat/>
    <w:locked/>
    <w:uiPriority w:val="99"/>
    <w:rPr>
      <w:rFonts w:cs="Times New Roman"/>
      <w:kern w:val="2"/>
      <w:sz w:val="18"/>
      <w:szCs w:val="18"/>
    </w:rPr>
  </w:style>
  <w:style w:type="character" w:customStyle="1" w:styleId="60">
    <w:name w:val="纯文本 Char"/>
    <w:qFormat/>
    <w:uiPriority w:val="0"/>
    <w:rPr>
      <w:rFonts w:ascii="宋体" w:eastAsia="宋体"/>
      <w:kern w:val="2"/>
      <w:sz w:val="21"/>
      <w:lang w:val="en-US" w:eastAsia="zh-CN"/>
    </w:rPr>
  </w:style>
  <w:style w:type="character" w:customStyle="1" w:styleId="61">
    <w:name w:val="font21"/>
    <w:qFormat/>
    <w:uiPriority w:val="99"/>
    <w:rPr>
      <w:rFonts w:ascii="Times New Roman" w:hAnsi="Times New Roman" w:cs="Times New Roman"/>
      <w:color w:val="000000"/>
      <w:sz w:val="16"/>
      <w:szCs w:val="16"/>
      <w:u w:val="none"/>
    </w:rPr>
  </w:style>
  <w:style w:type="character" w:customStyle="1" w:styleId="62">
    <w:name w:val="页眉 Char"/>
    <w:link w:val="23"/>
    <w:qFormat/>
    <w:locked/>
    <w:uiPriority w:val="99"/>
    <w:rPr>
      <w:rFonts w:cs="Times New Roman"/>
      <w:kern w:val="2"/>
      <w:sz w:val="18"/>
    </w:rPr>
  </w:style>
  <w:style w:type="character" w:customStyle="1" w:styleId="63">
    <w:name w:val="普通文字1 Char2"/>
    <w:qFormat/>
    <w:uiPriority w:val="99"/>
    <w:rPr>
      <w:rFonts w:ascii="宋体" w:eastAsia="宋体"/>
      <w:kern w:val="2"/>
      <w:sz w:val="21"/>
      <w:lang w:val="en-US" w:eastAsia="zh-CN"/>
    </w:rPr>
  </w:style>
  <w:style w:type="character" w:customStyle="1" w:styleId="64">
    <w:name w:val="副标题 Char1"/>
    <w:link w:val="26"/>
    <w:qFormat/>
    <w:locked/>
    <w:uiPriority w:val="99"/>
    <w:rPr>
      <w:rFonts w:ascii="Cambria" w:hAnsi="Cambria" w:cs="Times New Roman"/>
      <w:b/>
      <w:kern w:val="28"/>
      <w:sz w:val="32"/>
      <w:szCs w:val="32"/>
    </w:rPr>
  </w:style>
  <w:style w:type="character" w:customStyle="1" w:styleId="65">
    <w:name w:val="标题 2 字符"/>
    <w:qFormat/>
    <w:uiPriority w:val="0"/>
    <w:rPr>
      <w:rFonts w:eastAsia="黑体"/>
      <w:b/>
      <w:sz w:val="28"/>
    </w:rPr>
  </w:style>
  <w:style w:type="character" w:customStyle="1" w:styleId="66">
    <w:name w:val="正文文本 2 Char"/>
    <w:link w:val="31"/>
    <w:semiHidden/>
    <w:qFormat/>
    <w:locked/>
    <w:uiPriority w:val="99"/>
    <w:rPr>
      <w:rFonts w:ascii="Times New Roman" w:hAnsi="Times New Roman" w:cs="Times New Roman"/>
      <w:sz w:val="24"/>
      <w:szCs w:val="24"/>
    </w:rPr>
  </w:style>
  <w:style w:type="character" w:customStyle="1" w:styleId="67">
    <w:name w:val="标题 3 Char"/>
    <w:qFormat/>
    <w:uiPriority w:val="99"/>
    <w:rPr>
      <w:rFonts w:ascii="Arial" w:hAnsi="Arial" w:eastAsia="黑体"/>
      <w:b/>
      <w:sz w:val="28"/>
      <w:lang w:val="en-US" w:eastAsia="zh-CN"/>
    </w:rPr>
  </w:style>
  <w:style w:type="character" w:customStyle="1" w:styleId="68">
    <w:name w:val="正文文本缩进 Char"/>
    <w:link w:val="14"/>
    <w:semiHidden/>
    <w:qFormat/>
    <w:locked/>
    <w:uiPriority w:val="99"/>
    <w:rPr>
      <w:rFonts w:ascii="Times New Roman" w:hAnsi="Times New Roman" w:cs="Times New Roman"/>
      <w:sz w:val="24"/>
      <w:szCs w:val="24"/>
    </w:rPr>
  </w:style>
  <w:style w:type="character" w:customStyle="1" w:styleId="69">
    <w:name w:val="16"/>
    <w:qFormat/>
    <w:uiPriority w:val="99"/>
    <w:rPr>
      <w:rFonts w:ascii="Calibri" w:hAnsi="Calibri" w:cs="Times New Roman"/>
      <w:color w:val="555555"/>
    </w:rPr>
  </w:style>
  <w:style w:type="character" w:customStyle="1" w:styleId="70">
    <w:name w:val="正文文本 3 Char"/>
    <w:link w:val="12"/>
    <w:semiHidden/>
    <w:qFormat/>
    <w:locked/>
    <w:uiPriority w:val="99"/>
    <w:rPr>
      <w:rFonts w:ascii="Times New Roman" w:hAnsi="Times New Roman" w:cs="Times New Roman"/>
      <w:sz w:val="16"/>
      <w:szCs w:val="16"/>
    </w:rPr>
  </w:style>
  <w:style w:type="character" w:customStyle="1" w:styleId="71">
    <w:name w:val="正文文本缩进 3 Char"/>
    <w:link w:val="28"/>
    <w:semiHidden/>
    <w:qFormat/>
    <w:locked/>
    <w:uiPriority w:val="99"/>
    <w:rPr>
      <w:rFonts w:ascii="Times New Roman" w:hAnsi="Times New Roman" w:cs="Times New Roman"/>
      <w:sz w:val="16"/>
      <w:szCs w:val="16"/>
    </w:rPr>
  </w:style>
  <w:style w:type="character" w:customStyle="1" w:styleId="72">
    <w:name w:val="font71"/>
    <w:qFormat/>
    <w:uiPriority w:val="99"/>
    <w:rPr>
      <w:rFonts w:ascii="宋体" w:hAnsi="宋体" w:eastAsia="宋体" w:cs="宋体"/>
      <w:color w:val="000000"/>
      <w:sz w:val="16"/>
      <w:szCs w:val="16"/>
      <w:u w:val="none"/>
    </w:rPr>
  </w:style>
  <w:style w:type="character" w:customStyle="1" w:styleId="73">
    <w:name w:val="文档结构图 Char"/>
    <w:link w:val="9"/>
    <w:semiHidden/>
    <w:qFormat/>
    <w:locked/>
    <w:uiPriority w:val="99"/>
    <w:rPr>
      <w:rFonts w:ascii="Times New Roman" w:hAnsi="Times New Roman" w:cs="Times New Roman"/>
      <w:sz w:val="2"/>
    </w:rPr>
  </w:style>
  <w:style w:type="character" w:customStyle="1" w:styleId="74">
    <w:name w:val="font51"/>
    <w:qFormat/>
    <w:uiPriority w:val="99"/>
    <w:rPr>
      <w:rFonts w:ascii="宋体" w:hAnsi="宋体" w:eastAsia="宋体" w:cs="宋体"/>
      <w:color w:val="000000"/>
      <w:sz w:val="16"/>
      <w:szCs w:val="16"/>
      <w:u w:val="none"/>
    </w:rPr>
  </w:style>
  <w:style w:type="character" w:customStyle="1" w:styleId="75">
    <w:name w:val="标题 3 Char1"/>
    <w:link w:val="5"/>
    <w:qFormat/>
    <w:locked/>
    <w:uiPriority w:val="9"/>
    <w:rPr>
      <w:b/>
      <w:bCs/>
      <w:sz w:val="32"/>
      <w:szCs w:val="32"/>
    </w:rPr>
  </w:style>
  <w:style w:type="character" w:customStyle="1" w:styleId="76">
    <w:name w:val="font41"/>
    <w:qFormat/>
    <w:uiPriority w:val="99"/>
    <w:rPr>
      <w:rFonts w:ascii="font-weight : 400" w:hAnsi="font-weight : 400" w:cs="font-weight : 400"/>
      <w:color w:val="000000"/>
      <w:sz w:val="16"/>
      <w:szCs w:val="16"/>
      <w:u w:val="none"/>
    </w:rPr>
  </w:style>
  <w:style w:type="character" w:customStyle="1" w:styleId="77">
    <w:name w:val="批注主题 Char"/>
    <w:link w:val="34"/>
    <w:semiHidden/>
    <w:qFormat/>
    <w:locked/>
    <w:uiPriority w:val="99"/>
    <w:rPr>
      <w:rFonts w:ascii="Times New Roman" w:hAnsi="Times New Roman" w:cs="Times New Roman"/>
      <w:b/>
      <w:bCs/>
      <w:sz w:val="24"/>
      <w:szCs w:val="24"/>
    </w:rPr>
  </w:style>
  <w:style w:type="character" w:customStyle="1" w:styleId="78">
    <w:name w:val="副标题 Char"/>
    <w:qFormat/>
    <w:locked/>
    <w:uiPriority w:val="99"/>
    <w:rPr>
      <w:rFonts w:ascii="Cambria" w:hAnsi="Cambria" w:eastAsia="黑体" w:cs="Cambria"/>
      <w:b/>
      <w:kern w:val="28"/>
      <w:sz w:val="32"/>
      <w:szCs w:val="32"/>
    </w:rPr>
  </w:style>
  <w:style w:type="character" w:customStyle="1" w:styleId="79">
    <w:name w:val="批注框文本 Char"/>
    <w:link w:val="21"/>
    <w:qFormat/>
    <w:locked/>
    <w:uiPriority w:val="99"/>
    <w:rPr>
      <w:rFonts w:cs="Times New Roman"/>
      <w:kern w:val="2"/>
      <w:sz w:val="18"/>
    </w:rPr>
  </w:style>
  <w:style w:type="character" w:customStyle="1" w:styleId="80">
    <w:name w:val="标题 1 字符"/>
    <w:qFormat/>
    <w:locked/>
    <w:uiPriority w:val="9"/>
    <w:rPr>
      <w:b/>
      <w:bCs/>
      <w:kern w:val="44"/>
      <w:sz w:val="44"/>
      <w:szCs w:val="44"/>
    </w:rPr>
  </w:style>
  <w:style w:type="character" w:customStyle="1" w:styleId="81">
    <w:name w:val="批注文字 Char"/>
    <w:link w:val="11"/>
    <w:semiHidden/>
    <w:qFormat/>
    <w:locked/>
    <w:uiPriority w:val="99"/>
    <w:rPr>
      <w:rFonts w:ascii="Times New Roman" w:hAnsi="Times New Roman" w:cs="Times New Roman"/>
      <w:sz w:val="24"/>
      <w:szCs w:val="24"/>
    </w:rPr>
  </w:style>
  <w:style w:type="character" w:customStyle="1" w:styleId="82">
    <w:name w:val="正文缩进 字符"/>
    <w:qFormat/>
    <w:uiPriority w:val="99"/>
    <w:rPr>
      <w:rFonts w:eastAsia="宋体"/>
      <w:kern w:val="2"/>
      <w:sz w:val="21"/>
      <w:lang w:val="en-US" w:eastAsia="zh-CN"/>
    </w:rPr>
  </w:style>
  <w:style w:type="paragraph" w:customStyle="1" w:styleId="83">
    <w:name w:val="xl70"/>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
    <w:name w:val="项目书正文"/>
    <w:basedOn w:val="1"/>
    <w:qFormat/>
    <w:uiPriority w:val="99"/>
    <w:pPr>
      <w:widowControl/>
      <w:spacing w:beforeLines="50" w:afterLines="50" w:line="420" w:lineRule="auto"/>
      <w:ind w:firstLine="200" w:firstLineChars="200"/>
      <w:jc w:val="left"/>
    </w:pPr>
    <w:rPr>
      <w:rFonts w:ascii="Calibri" w:hAnsi="Calibri" w:cs="宋体"/>
      <w:kern w:val="0"/>
      <w:sz w:val="24"/>
      <w:szCs w:val="20"/>
    </w:rPr>
  </w:style>
  <w:style w:type="paragraph" w:customStyle="1" w:styleId="8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7">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采购申报表正文"/>
    <w:basedOn w:val="1"/>
    <w:qFormat/>
    <w:uiPriority w:val="99"/>
    <w:rPr>
      <w:rFonts w:ascii="仿宋_GB2312" w:eastAsia="仿宋_GB2312"/>
      <w:szCs w:val="28"/>
    </w:rPr>
  </w:style>
  <w:style w:type="paragraph" w:customStyle="1" w:styleId="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90">
    <w:name w:val="Char Char2 Char"/>
    <w:basedOn w:val="1"/>
    <w:qFormat/>
    <w:uiPriority w:val="99"/>
    <w:pPr>
      <w:keepNext/>
      <w:keepLines/>
      <w:pageBreakBefore/>
      <w:tabs>
        <w:tab w:val="left" w:pos="390"/>
      </w:tabs>
      <w:ind w:left="390" w:hanging="390"/>
    </w:pPr>
    <w:rPr>
      <w:rFonts w:ascii="Tahoma" w:hAnsi="Tahoma"/>
      <w:sz w:val="24"/>
      <w:szCs w:val="20"/>
    </w:rPr>
  </w:style>
  <w:style w:type="paragraph" w:customStyle="1" w:styleId="91">
    <w:name w:val="列出段落11"/>
    <w:basedOn w:val="1"/>
    <w:qFormat/>
    <w:uiPriority w:val="99"/>
    <w:pPr>
      <w:ind w:firstLine="420" w:firstLineChars="200"/>
    </w:pPr>
  </w:style>
  <w:style w:type="paragraph" w:customStyle="1" w:styleId="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3">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4">
    <w:name w:val="样式1"/>
    <w:basedOn w:val="4"/>
    <w:qFormat/>
    <w:uiPriority w:val="99"/>
  </w:style>
  <w:style w:type="paragraph" w:customStyle="1" w:styleId="95">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97">
    <w:name w:val="xl73"/>
    <w:basedOn w:val="1"/>
    <w:qFormat/>
    <w:uiPriority w:val="0"/>
    <w:pPr>
      <w:widowControl/>
      <w:pBdr>
        <w:lef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98">
    <w:name w:val="p2"/>
    <w:basedOn w:val="1"/>
    <w:qFormat/>
    <w:uiPriority w:val="99"/>
    <w:pPr>
      <w:widowControl/>
      <w:spacing w:line="480" w:lineRule="auto"/>
      <w:ind w:firstLine="420"/>
      <w:jc w:val="left"/>
    </w:pPr>
    <w:rPr>
      <w:rFonts w:ascii="宋体" w:hAnsi="宋体" w:cs="宋体"/>
      <w:kern w:val="0"/>
      <w:szCs w:val="21"/>
    </w:rPr>
  </w:style>
  <w:style w:type="paragraph" w:customStyle="1" w:styleId="99">
    <w:name w:val="列出段落2"/>
    <w:basedOn w:val="1"/>
    <w:qFormat/>
    <w:uiPriority w:val="99"/>
    <w:pPr>
      <w:ind w:firstLine="420" w:firstLineChars="200"/>
    </w:p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000000"/>
      <w:kern w:val="0"/>
      <w:sz w:val="24"/>
    </w:rPr>
  </w:style>
  <w:style w:type="paragraph" w:customStyle="1" w:styleId="101">
    <w:name w:val="Char Char Char"/>
    <w:basedOn w:val="1"/>
    <w:qFormat/>
    <w:uiPriority w:val="99"/>
    <w:pPr>
      <w:ind w:firstLine="200" w:firstLineChars="200"/>
    </w:pPr>
    <w:rPr>
      <w:sz w:val="24"/>
    </w:rPr>
  </w:style>
  <w:style w:type="paragraph" w:customStyle="1" w:styleId="102">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3">
    <w:name w:val="Char1"/>
    <w:basedOn w:val="1"/>
    <w:qFormat/>
    <w:uiPriority w:val="99"/>
    <w:pPr>
      <w:widowControl/>
      <w:spacing w:after="160" w:line="240" w:lineRule="exact"/>
      <w:jc w:val="left"/>
    </w:pPr>
  </w:style>
  <w:style w:type="paragraph" w:customStyle="1" w:styleId="104">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Char11"/>
    <w:basedOn w:val="1"/>
    <w:qFormat/>
    <w:uiPriority w:val="99"/>
  </w:style>
  <w:style w:type="paragraph" w:customStyle="1" w:styleId="106">
    <w:name w:val="列出段落1"/>
    <w:basedOn w:val="1"/>
    <w:qFormat/>
    <w:uiPriority w:val="99"/>
    <w:pPr>
      <w:ind w:firstLine="420" w:firstLineChars="200"/>
    </w:pPr>
    <w:rPr>
      <w:rFonts w:ascii="Calibri" w:hAnsi="Calibri"/>
      <w:szCs w:val="22"/>
    </w:rPr>
  </w:style>
  <w:style w:type="paragraph" w:customStyle="1" w:styleId="107">
    <w:name w:val="纯文本 New New"/>
    <w:basedOn w:val="1"/>
    <w:next w:val="1"/>
    <w:qFormat/>
    <w:uiPriority w:val="99"/>
    <w:pPr>
      <w:autoSpaceDE w:val="0"/>
      <w:autoSpaceDN w:val="0"/>
      <w:adjustRightInd w:val="0"/>
      <w:jc w:val="left"/>
    </w:pPr>
    <w:rPr>
      <w:rFonts w:ascii="宋体"/>
    </w:rPr>
  </w:style>
  <w:style w:type="paragraph" w:customStyle="1" w:styleId="108">
    <w:name w:val="样式3"/>
    <w:basedOn w:val="5"/>
    <w:qFormat/>
    <w:uiPriority w:val="99"/>
    <w:pPr>
      <w:ind w:left="101" w:hanging="101" w:hangingChars="101"/>
      <w:jc w:val="left"/>
    </w:pPr>
    <w:rPr>
      <w:b w:val="0"/>
      <w:bCs w:val="0"/>
      <w:sz w:val="24"/>
      <w:szCs w:val="24"/>
    </w:rPr>
  </w:style>
  <w:style w:type="paragraph" w:customStyle="1" w:styleId="109">
    <w:name w:val="g3"/>
    <w:basedOn w:val="1"/>
    <w:qFormat/>
    <w:uiPriority w:val="99"/>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110">
    <w:name w:val="第四行"/>
    <w:basedOn w:val="1"/>
    <w:qFormat/>
    <w:uiPriority w:val="99"/>
    <w:pPr>
      <w:tabs>
        <w:tab w:val="left" w:pos="1200"/>
      </w:tabs>
      <w:spacing w:line="360" w:lineRule="auto"/>
      <w:jc w:val="center"/>
    </w:pPr>
    <w:rPr>
      <w:rFonts w:ascii="宋体"/>
      <w:b/>
      <w:bCs/>
      <w:spacing w:val="40"/>
      <w:sz w:val="28"/>
      <w:szCs w:val="28"/>
    </w:rPr>
  </w:style>
  <w:style w:type="paragraph" w:customStyle="1" w:styleId="111">
    <w:name w:val="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styleId="112">
    <w:name w:val="List Paragraph"/>
    <w:basedOn w:val="1"/>
    <w:qFormat/>
    <w:uiPriority w:val="99"/>
    <w:pPr>
      <w:ind w:firstLine="420" w:firstLineChars="200"/>
    </w:pPr>
  </w:style>
  <w:style w:type="paragraph" w:customStyle="1" w:styleId="113">
    <w:name w:val="xl10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
    <w:name w:val="Content"/>
    <w:basedOn w:val="13"/>
    <w:qFormat/>
    <w:uiPriority w:val="99"/>
    <w:pPr>
      <w:spacing w:line="360" w:lineRule="auto"/>
      <w:ind w:firstLine="480"/>
    </w:pPr>
    <w:rPr>
      <w:rFonts w:eastAsia="全真簡粗明"/>
      <w:b/>
      <w:lang w:eastAsia="zh-TW"/>
    </w:rPr>
  </w:style>
  <w:style w:type="paragraph" w:customStyle="1" w:styleId="115">
    <w:name w:val="para"/>
    <w:basedOn w:val="1"/>
    <w:qFormat/>
    <w:uiPriority w:val="99"/>
    <w:pPr>
      <w:widowControl/>
      <w:adjustRightInd w:val="0"/>
      <w:spacing w:before="160" w:line="360" w:lineRule="auto"/>
      <w:ind w:firstLine="425"/>
      <w:textAlignment w:val="baseline"/>
    </w:pPr>
    <w:rPr>
      <w:kern w:val="0"/>
      <w:sz w:val="24"/>
      <w:szCs w:val="20"/>
      <w:lang w:eastAsia="en-US"/>
    </w:rPr>
  </w:style>
  <w:style w:type="paragraph" w:customStyle="1" w:styleId="116">
    <w:name w:val="纯文本 New New New"/>
    <w:basedOn w:val="1"/>
    <w:next w:val="1"/>
    <w:qFormat/>
    <w:uiPriority w:val="99"/>
    <w:pPr>
      <w:autoSpaceDE w:val="0"/>
      <w:autoSpaceDN w:val="0"/>
      <w:adjustRightInd w:val="0"/>
      <w:jc w:val="left"/>
    </w:pPr>
    <w:rPr>
      <w:rFonts w:ascii="宋体"/>
    </w:rPr>
  </w:style>
  <w:style w:type="paragraph" w:customStyle="1" w:styleId="117">
    <w:name w:val="flName"/>
    <w:basedOn w:val="1"/>
    <w:qFormat/>
    <w:uiPriority w:val="99"/>
    <w:pPr>
      <w:adjustRightInd w:val="0"/>
      <w:spacing w:before="320" w:after="160" w:line="360" w:lineRule="atLeast"/>
      <w:jc w:val="center"/>
      <w:textAlignment w:val="baseline"/>
    </w:pPr>
    <w:rPr>
      <w:rFonts w:ascii="Arial" w:eastAsia="黑体" w:cs="Arial"/>
      <w:kern w:val="0"/>
      <w:sz w:val="32"/>
      <w:szCs w:val="32"/>
    </w:rPr>
  </w:style>
  <w:style w:type="paragraph" w:customStyle="1" w:styleId="118">
    <w:name w:val="Table Paragraph"/>
    <w:basedOn w:val="1"/>
    <w:qFormat/>
    <w:uiPriority w:val="99"/>
    <w:pPr>
      <w:jc w:val="center"/>
    </w:pPr>
    <w:rPr>
      <w:rFonts w:ascii="宋体" w:hAnsi="宋体" w:cs="宋体"/>
      <w:lang w:val="zh-CN"/>
    </w:rPr>
  </w:style>
  <w:style w:type="paragraph" w:customStyle="1" w:styleId="119">
    <w:name w:val="_Style 2"/>
    <w:basedOn w:val="1"/>
    <w:qFormat/>
    <w:uiPriority w:val="99"/>
    <w:pPr>
      <w:ind w:firstLine="420" w:firstLineChars="200"/>
    </w:pPr>
  </w:style>
  <w:style w:type="paragraph" w:customStyle="1" w:styleId="120">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21">
    <w:name w:val="Char"/>
    <w:basedOn w:val="1"/>
    <w:qFormat/>
    <w:uiPriority w:val="0"/>
  </w:style>
  <w:style w:type="paragraph" w:customStyle="1" w:styleId="12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textAlignment w:val="bottom"/>
    </w:pPr>
    <w:rPr>
      <w:rFonts w:ascii="宋体" w:hAnsi="宋体" w:cs="宋体"/>
      <w:b/>
      <w:bCs/>
      <w:color w:val="000000"/>
      <w:kern w:val="0"/>
      <w:sz w:val="24"/>
    </w:rPr>
  </w:style>
  <w:style w:type="paragraph" w:customStyle="1" w:styleId="123">
    <w:name w:val="样式2"/>
    <w:basedOn w:val="4"/>
    <w:qFormat/>
    <w:uiPriority w:val="99"/>
    <w:pPr>
      <w:spacing w:line="440" w:lineRule="exact"/>
      <w:jc w:val="center"/>
    </w:pPr>
    <w:rPr>
      <w:rFonts w:ascii="宋体" w:hAnsi="宋体"/>
      <w:b w:val="0"/>
      <w:sz w:val="32"/>
    </w:rPr>
  </w:style>
  <w:style w:type="paragraph" w:customStyle="1" w:styleId="124">
    <w:name w:val="_Style 5"/>
    <w:basedOn w:val="1"/>
    <w:qFormat/>
    <w:uiPriority w:val="99"/>
    <w:pPr>
      <w:keepNext/>
      <w:keepLines/>
      <w:pageBreakBefore/>
      <w:tabs>
        <w:tab w:val="left" w:pos="390"/>
      </w:tabs>
      <w:ind w:left="390" w:hanging="390"/>
    </w:pPr>
    <w:rPr>
      <w:rFonts w:ascii="Tahoma" w:hAnsi="Tahoma"/>
      <w:sz w:val="24"/>
      <w:szCs w:val="20"/>
    </w:rPr>
  </w:style>
  <w:style w:type="paragraph" w:customStyle="1" w:styleId="125">
    <w:name w:val="样式 首行缩进:  2 字符"/>
    <w:basedOn w:val="1"/>
    <w:qFormat/>
    <w:uiPriority w:val="99"/>
    <w:pPr>
      <w:spacing w:line="400" w:lineRule="exact"/>
      <w:ind w:firstLine="200" w:firstLineChars="200"/>
    </w:pPr>
    <w:rPr>
      <w:rFonts w:cs="宋体"/>
      <w:sz w:val="24"/>
    </w:rPr>
  </w:style>
  <w:style w:type="paragraph" w:customStyle="1" w:styleId="126">
    <w:name w:val="xl23"/>
    <w:basedOn w:val="1"/>
    <w:qFormat/>
    <w:uiPriority w:val="99"/>
    <w:pPr>
      <w:widowControl/>
      <w:spacing w:before="100" w:beforeAutospacing="1" w:after="100" w:afterAutospacing="1"/>
      <w:jc w:val="center"/>
    </w:pPr>
    <w:rPr>
      <w:rFonts w:ascii="Arial Unicode MS" w:hAnsi="Arial Unicode MS"/>
      <w:kern w:val="0"/>
      <w:sz w:val="24"/>
      <w:szCs w:val="20"/>
    </w:rPr>
  </w:style>
  <w:style w:type="paragraph" w:customStyle="1" w:styleId="127">
    <w:name w:val="纯文本 New New New New"/>
    <w:basedOn w:val="1"/>
    <w:next w:val="1"/>
    <w:qFormat/>
    <w:uiPriority w:val="99"/>
    <w:pPr>
      <w:autoSpaceDE w:val="0"/>
      <w:autoSpaceDN w:val="0"/>
      <w:adjustRightInd w:val="0"/>
      <w:jc w:val="left"/>
    </w:pPr>
    <w:rPr>
      <w:rFonts w:ascii="宋体"/>
    </w:rPr>
  </w:style>
  <w:style w:type="paragraph" w:customStyle="1" w:styleId="128">
    <w:name w:val="p0"/>
    <w:basedOn w:val="1"/>
    <w:qFormat/>
    <w:uiPriority w:val="99"/>
    <w:pPr>
      <w:widowControl/>
    </w:pPr>
    <w:rPr>
      <w:rFonts w:ascii="仿宋" w:eastAsia="仿宋"/>
      <w:kern w:val="0"/>
      <w:sz w:val="32"/>
      <w:szCs w:val="21"/>
    </w:rPr>
  </w:style>
  <w:style w:type="paragraph" w:customStyle="1" w:styleId="129">
    <w:name w:val="表格"/>
    <w:basedOn w:val="1"/>
    <w:qFormat/>
    <w:uiPriority w:val="99"/>
    <w:pPr>
      <w:tabs>
        <w:tab w:val="left" w:pos="1200"/>
      </w:tabs>
      <w:spacing w:line="500" w:lineRule="exact"/>
      <w:jc w:val="center"/>
    </w:pPr>
    <w:rPr>
      <w:rFonts w:ascii="宋体"/>
      <w:sz w:val="24"/>
      <w:szCs w:val="18"/>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1">
    <w:name w:val="xl72"/>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3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3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35">
    <w:name w:val="xl79"/>
    <w:basedOn w:val="1"/>
    <w:qFormat/>
    <w:uiPriority w:val="0"/>
    <w:pPr>
      <w:widowControl/>
      <w:pBdr>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3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3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3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3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rPr>
  </w:style>
  <w:style w:type="paragraph" w:customStyle="1" w:styleId="14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4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8"/>
      <w:szCs w:val="28"/>
    </w:rPr>
  </w:style>
  <w:style w:type="paragraph" w:customStyle="1" w:styleId="14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50">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51">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5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textAlignment w:val="bottom"/>
    </w:pPr>
    <w:rPr>
      <w:rFonts w:ascii="宋体" w:hAnsi="宋体" w:cs="宋体"/>
      <w:b/>
      <w:bCs/>
      <w:kern w:val="0"/>
      <w:sz w:val="24"/>
    </w:rPr>
  </w:style>
  <w:style w:type="paragraph" w:customStyle="1" w:styleId="15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b/>
      <w:bCs/>
      <w:kern w:val="0"/>
      <w:sz w:val="24"/>
    </w:rPr>
  </w:style>
  <w:style w:type="paragraph" w:customStyle="1" w:styleId="15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b/>
      <w:bCs/>
      <w:color w:val="000000"/>
      <w:kern w:val="0"/>
      <w:sz w:val="24"/>
    </w:rPr>
  </w:style>
  <w:style w:type="paragraph" w:customStyle="1" w:styleId="15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4"/>
    </w:rPr>
  </w:style>
  <w:style w:type="paragraph" w:customStyle="1" w:styleId="15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color w:val="000000"/>
      <w:kern w:val="0"/>
      <w:sz w:val="24"/>
    </w:rPr>
  </w:style>
  <w:style w:type="paragraph" w:customStyle="1" w:styleId="15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5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2">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3">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4">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6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7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8"/>
      <w:szCs w:val="28"/>
    </w:rPr>
  </w:style>
  <w:style w:type="paragraph" w:customStyle="1" w:styleId="17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rPr>
  </w:style>
  <w:style w:type="paragraph" w:customStyle="1" w:styleId="17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8"/>
    </w:rPr>
  </w:style>
  <w:style w:type="paragraph" w:customStyle="1" w:styleId="17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74">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C00000"/>
      <w:kern w:val="0"/>
      <w:sz w:val="32"/>
      <w:szCs w:val="32"/>
    </w:rPr>
  </w:style>
  <w:style w:type="paragraph" w:customStyle="1" w:styleId="17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17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36"/>
      <w:szCs w:val="36"/>
    </w:rPr>
  </w:style>
  <w:style w:type="paragraph" w:customStyle="1" w:styleId="177">
    <w:name w:val="列出段落3"/>
    <w:basedOn w:val="1"/>
    <w:qFormat/>
    <w:uiPriority w:val="99"/>
    <w:pPr>
      <w:ind w:firstLine="420" w:firstLineChars="200"/>
    </w:pPr>
  </w:style>
  <w:style w:type="paragraph" w:styleId="178">
    <w:name w:val="No Spacing"/>
    <w:qFormat/>
    <w:uiPriority w:val="1"/>
    <w:pPr>
      <w:widowControl w:val="0"/>
      <w:spacing w:line="360" w:lineRule="auto"/>
      <w:ind w:firstLine="200" w:firstLineChars="200"/>
      <w:jc w:val="both"/>
      <w:textAlignment w:val="bottom"/>
    </w:pPr>
    <w:rPr>
      <w:rFonts w:ascii="Times New Roman" w:hAnsi="Times New Roman" w:eastAsia="宋体" w:cs="Times New Roman"/>
      <w:sz w:val="24"/>
      <w:lang w:val="en-US" w:eastAsia="zh-CN" w:bidi="ar-SA"/>
    </w:rPr>
  </w:style>
  <w:style w:type="paragraph" w:customStyle="1" w:styleId="179">
    <w:name w:val="正文-2字符首行缩进"/>
    <w:basedOn w:val="1"/>
    <w:qFormat/>
    <w:uiPriority w:val="0"/>
    <w:pPr>
      <w:ind w:firstLine="200" w:firstLineChars="200"/>
    </w:pPr>
  </w:style>
  <w:style w:type="character" w:customStyle="1" w:styleId="180">
    <w:name w:val="标题 1 Char"/>
    <w:basedOn w:val="39"/>
    <w:link w:val="3"/>
    <w:qFormat/>
    <w:uiPriority w:val="0"/>
    <w:rPr>
      <w:rFonts w:hint="default" w:ascii="Times New Roman" w:hAnsi="Times New Roman" w:eastAsia="宋体" w:cs="Times New Roman"/>
      <w:b/>
      <w:kern w:val="44"/>
      <w:sz w:val="44"/>
      <w:szCs w:val="44"/>
    </w:rPr>
  </w:style>
  <w:style w:type="paragraph" w:customStyle="1" w:styleId="181">
    <w:name w:val="WPSOffice手动目录 1"/>
    <w:qFormat/>
    <w:uiPriority w:val="0"/>
    <w:rPr>
      <w:rFonts w:ascii="Times New Roman" w:hAnsi="Times New Roman" w:eastAsia="宋体" w:cs="Times New Roman"/>
      <w:lang w:val="en-US" w:eastAsia="zh-CN" w:bidi="ar-SA"/>
    </w:rPr>
  </w:style>
  <w:style w:type="paragraph" w:customStyle="1" w:styleId="1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4">
    <w:name w:val="_Style 45"/>
    <w:basedOn w:val="3"/>
    <w:next w:val="1"/>
    <w:unhideWhenUsed/>
    <w:qFormat/>
    <w:uiPriority w:val="39"/>
    <w:pPr>
      <w:widowControl/>
      <w:tabs>
        <w:tab w:val="clear" w:pos="360"/>
      </w:tabs>
      <w:adjustRightInd/>
      <w:spacing w:before="240" w:line="259" w:lineRule="auto"/>
      <w:ind w:left="0" w:firstLine="0"/>
      <w:jc w:val="left"/>
      <w:textAlignment w:val="auto"/>
      <w:outlineLvl w:val="9"/>
    </w:pPr>
    <w:rPr>
      <w:rFonts w:ascii="等线 Light" w:hAnsi="等线 Light" w:eastAsia="等线 Light"/>
      <w:b w:val="0"/>
      <w:bCs w:val="0"/>
      <w:color w:val="2E74B5"/>
      <w:kern w:val="0"/>
      <w:sz w:val="32"/>
      <w:szCs w:val="32"/>
    </w:rPr>
  </w:style>
  <w:style w:type="character" w:customStyle="1" w:styleId="185">
    <w:name w:val="unnamed3"/>
    <w:qFormat/>
    <w:uiPriority w:val="0"/>
    <w:rPr>
      <w:rFonts w:cs="Times New Roman"/>
    </w:rPr>
  </w:style>
  <w:style w:type="paragraph" w:customStyle="1" w:styleId="186">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87">
    <w:name w:val="font01"/>
    <w:basedOn w:val="3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98580-DF5C-4B2B-B480-7728806BA5BE}">
  <ds:schemaRefs/>
</ds:datastoreItem>
</file>

<file path=docProps/app.xml><?xml version="1.0" encoding="utf-8"?>
<Properties xmlns="http://schemas.openxmlformats.org/officeDocument/2006/extended-properties" xmlns:vt="http://schemas.openxmlformats.org/officeDocument/2006/docPropsVTypes">
  <Template>Normal.dotm</Template>
  <Company>ZYQ</Company>
  <Pages>50</Pages>
  <Words>4433</Words>
  <Characters>25273</Characters>
  <Lines>210</Lines>
  <Paragraphs>59</Paragraphs>
  <TotalTime>60</TotalTime>
  <ScaleCrop>false</ScaleCrop>
  <LinksUpToDate>false</LinksUpToDate>
  <CharactersWithSpaces>29647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2021-09-21T16:28:00Z</dcterms:created>
  <dc:creator>kaka</dc:creator>
  <cp:lastModifiedBy>小手拉大手</cp:lastModifiedBy>
  <cp:lastPrinted>2021-06-15T09:06:00Z</cp:lastPrinted>
  <dcterms:modified xsi:type="dcterms:W3CDTF">2021-10-08T06:47:29Z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1CD0B200156C49B7BDD4D30F68C857B4</vt:lpwstr>
  </property>
</Properties>
</file>