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jc w:val="center"/>
        <w:rPr>
          <w:rFonts w:hint="eastAsia" w:ascii="宋体" w:hAnsi="宋体" w:eastAsia="宋体" w:cs="宋体"/>
          <w:b/>
          <w:bCs/>
          <w:kern w:val="2"/>
          <w:sz w:val="52"/>
          <w:szCs w:val="52"/>
          <w:lang w:val="en-US" w:eastAsia="zh-CN" w:bidi="ar-SA"/>
        </w:rPr>
      </w:pPr>
    </w:p>
    <w:p>
      <w:pPr>
        <w:widowControl w:val="0"/>
        <w:spacing w:line="360" w:lineRule="auto"/>
        <w:jc w:val="center"/>
        <w:rPr>
          <w:rFonts w:hint="eastAsia" w:ascii="宋体" w:hAnsi="宋体" w:eastAsia="宋体" w:cs="宋体"/>
          <w:kern w:val="2"/>
          <w:sz w:val="32"/>
          <w:szCs w:val="32"/>
          <w:lang w:val="en-US" w:eastAsia="zh-CN" w:bidi="ar-SA"/>
        </w:rPr>
      </w:pPr>
      <w:r>
        <w:rPr>
          <w:rFonts w:hint="eastAsia" w:ascii="宋体" w:hAnsi="宋体" w:eastAsia="宋体" w:cs="宋体"/>
          <w:b/>
          <w:bCs/>
          <w:kern w:val="2"/>
          <w:sz w:val="52"/>
          <w:szCs w:val="52"/>
          <w:lang w:val="en-US" w:eastAsia="zh-CN" w:bidi="ar-SA"/>
        </w:rPr>
        <w:t>楚雄医药高等专科学校人民武装部试点建设物资采购项目</w:t>
      </w:r>
    </w:p>
    <w:p>
      <w:pPr>
        <w:widowControl w:val="0"/>
        <w:spacing w:line="360" w:lineRule="auto"/>
        <w:jc w:val="center"/>
        <w:rPr>
          <w:rFonts w:hint="eastAsia" w:ascii="宋体" w:hAnsi="宋体" w:eastAsia="宋体" w:cs="宋体"/>
          <w:kern w:val="2"/>
          <w:sz w:val="32"/>
          <w:szCs w:val="32"/>
          <w:lang w:val="en-US" w:eastAsia="zh-CN" w:bidi="ar-SA"/>
        </w:rPr>
      </w:pPr>
    </w:p>
    <w:p>
      <w:pPr>
        <w:widowControl w:val="0"/>
        <w:spacing w:line="360" w:lineRule="auto"/>
        <w:jc w:val="center"/>
        <w:rPr>
          <w:rFonts w:hint="eastAsia" w:ascii="宋体" w:hAnsi="宋体" w:eastAsia="宋体" w:cs="宋体"/>
          <w:kern w:val="2"/>
          <w:sz w:val="32"/>
          <w:szCs w:val="32"/>
          <w:lang w:val="en-US" w:eastAsia="zh-CN" w:bidi="ar-SA"/>
        </w:rPr>
      </w:pPr>
    </w:p>
    <w:p>
      <w:pPr>
        <w:widowControl w:val="0"/>
        <w:spacing w:line="360" w:lineRule="auto"/>
        <w:jc w:val="center"/>
        <w:rPr>
          <w:rFonts w:hint="eastAsia" w:ascii="宋体" w:hAnsi="宋体" w:eastAsia="宋体" w:cs="宋体"/>
          <w:kern w:val="2"/>
          <w:sz w:val="32"/>
          <w:szCs w:val="32"/>
          <w:lang w:val="en-US" w:eastAsia="zh-CN" w:bidi="ar-SA"/>
        </w:rPr>
      </w:pPr>
    </w:p>
    <w:p>
      <w:pPr>
        <w:widowControl w:val="0"/>
        <w:spacing w:line="360" w:lineRule="auto"/>
        <w:jc w:val="center"/>
        <w:rPr>
          <w:rFonts w:hint="eastAsia" w:ascii="宋体" w:hAnsi="宋体" w:eastAsia="宋体" w:cs="宋体"/>
          <w:kern w:val="2"/>
          <w:sz w:val="32"/>
          <w:szCs w:val="32"/>
          <w:lang w:val="en-US" w:eastAsia="zh-CN" w:bidi="ar-SA"/>
        </w:rPr>
      </w:pPr>
    </w:p>
    <w:p>
      <w:pPr>
        <w:widowControl w:val="0"/>
        <w:spacing w:line="360" w:lineRule="auto"/>
        <w:jc w:val="center"/>
        <w:rPr>
          <w:rFonts w:hint="eastAsia" w:ascii="宋体" w:hAnsi="宋体" w:eastAsia="宋体" w:cs="宋体"/>
          <w:kern w:val="2"/>
          <w:sz w:val="32"/>
          <w:szCs w:val="32"/>
          <w:lang w:val="en-US" w:eastAsia="zh-CN" w:bidi="ar-SA"/>
        </w:rPr>
      </w:pPr>
    </w:p>
    <w:p>
      <w:pPr>
        <w:widowControl w:val="0"/>
        <w:spacing w:line="360" w:lineRule="auto"/>
        <w:jc w:val="center"/>
        <w:rPr>
          <w:rFonts w:hint="eastAsia" w:ascii="宋体" w:hAnsi="宋体" w:eastAsia="宋体" w:cs="宋体"/>
          <w:kern w:val="2"/>
          <w:sz w:val="32"/>
          <w:szCs w:val="32"/>
          <w:lang w:val="en-US" w:eastAsia="zh-CN" w:bidi="ar-SA"/>
        </w:rPr>
      </w:pPr>
      <w:r>
        <w:rPr>
          <w:rFonts w:hint="eastAsia" w:ascii="宋体" w:hAnsi="宋体" w:eastAsia="宋体" w:cs="宋体"/>
          <w:b/>
          <w:bCs/>
          <w:kern w:val="2"/>
          <w:sz w:val="52"/>
          <w:szCs w:val="52"/>
          <w:lang w:val="en-US" w:eastAsia="zh-CN" w:bidi="ar-SA"/>
        </w:rPr>
        <w:t>竞争性谈判文件</w:t>
      </w:r>
    </w:p>
    <w:p>
      <w:pPr>
        <w:widowControl w:val="0"/>
        <w:spacing w:line="360" w:lineRule="auto"/>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项目编号：CXYZC【2022】第15号</w:t>
      </w:r>
    </w:p>
    <w:p>
      <w:pPr>
        <w:widowControl w:val="0"/>
        <w:spacing w:line="360" w:lineRule="auto"/>
        <w:jc w:val="center"/>
        <w:rPr>
          <w:rFonts w:hint="eastAsia" w:ascii="宋体" w:hAnsi="宋体" w:eastAsia="宋体" w:cs="宋体"/>
          <w:kern w:val="2"/>
          <w:sz w:val="32"/>
          <w:szCs w:val="32"/>
          <w:lang w:val="en-US" w:eastAsia="zh-CN" w:bidi="ar-SA"/>
        </w:rPr>
      </w:pPr>
    </w:p>
    <w:p>
      <w:pPr>
        <w:widowControl w:val="0"/>
        <w:spacing w:line="360" w:lineRule="auto"/>
        <w:jc w:val="both"/>
        <w:rPr>
          <w:rFonts w:hint="eastAsia" w:ascii="宋体" w:hAnsi="宋体" w:eastAsia="宋体" w:cs="宋体"/>
          <w:kern w:val="2"/>
          <w:sz w:val="21"/>
          <w:szCs w:val="20"/>
          <w:lang w:val="en-US" w:eastAsia="zh-CN" w:bidi="ar-SA"/>
        </w:rPr>
      </w:pPr>
    </w:p>
    <w:p>
      <w:pPr>
        <w:widowControl w:val="0"/>
        <w:spacing w:line="360" w:lineRule="auto"/>
        <w:jc w:val="both"/>
        <w:rPr>
          <w:rFonts w:hint="eastAsia" w:ascii="宋体" w:hAnsi="宋体" w:eastAsia="宋体" w:cs="宋体"/>
          <w:kern w:val="2"/>
          <w:sz w:val="21"/>
          <w:szCs w:val="20"/>
          <w:lang w:val="en-US" w:eastAsia="zh-CN" w:bidi="ar-SA"/>
        </w:rPr>
      </w:pPr>
    </w:p>
    <w:p>
      <w:pPr>
        <w:widowControl w:val="0"/>
        <w:spacing w:line="360" w:lineRule="auto"/>
        <w:jc w:val="both"/>
        <w:rPr>
          <w:rFonts w:hint="eastAsia" w:ascii="宋体" w:hAnsi="宋体" w:eastAsia="宋体" w:cs="宋体"/>
          <w:kern w:val="2"/>
          <w:sz w:val="21"/>
          <w:szCs w:val="20"/>
          <w:lang w:val="en-US" w:eastAsia="zh-CN" w:bidi="ar-SA"/>
        </w:rPr>
      </w:pPr>
    </w:p>
    <w:p>
      <w:pPr>
        <w:widowControl w:val="0"/>
        <w:spacing w:line="360" w:lineRule="auto"/>
        <w:jc w:val="both"/>
        <w:rPr>
          <w:rFonts w:hint="eastAsia" w:ascii="宋体" w:hAnsi="宋体" w:eastAsia="宋体" w:cs="宋体"/>
          <w:kern w:val="2"/>
          <w:sz w:val="21"/>
          <w:szCs w:val="20"/>
          <w:lang w:val="en-US" w:eastAsia="zh-CN" w:bidi="ar-SA"/>
        </w:rPr>
      </w:pPr>
    </w:p>
    <w:p>
      <w:pPr>
        <w:widowControl w:val="0"/>
        <w:spacing w:line="360" w:lineRule="auto"/>
        <w:jc w:val="both"/>
        <w:rPr>
          <w:rFonts w:hint="eastAsia" w:ascii="宋体" w:hAnsi="宋体" w:eastAsia="宋体" w:cs="宋体"/>
          <w:kern w:val="2"/>
          <w:sz w:val="21"/>
          <w:szCs w:val="20"/>
          <w:lang w:val="en-US" w:eastAsia="zh-CN" w:bidi="ar-SA"/>
        </w:rPr>
      </w:pPr>
    </w:p>
    <w:p>
      <w:pPr>
        <w:widowControl w:val="0"/>
        <w:spacing w:line="360" w:lineRule="auto"/>
        <w:jc w:val="both"/>
        <w:rPr>
          <w:rFonts w:hint="eastAsia" w:ascii="宋体" w:hAnsi="宋体" w:eastAsia="宋体" w:cs="宋体"/>
          <w:kern w:val="2"/>
          <w:sz w:val="21"/>
          <w:szCs w:val="20"/>
          <w:lang w:val="en-US" w:eastAsia="zh-CN" w:bidi="ar-SA"/>
        </w:rPr>
      </w:pPr>
    </w:p>
    <w:p>
      <w:pPr>
        <w:widowControl w:val="0"/>
        <w:spacing w:line="360" w:lineRule="auto"/>
        <w:jc w:val="both"/>
        <w:rPr>
          <w:rFonts w:hint="eastAsia" w:ascii="宋体" w:hAnsi="宋体" w:eastAsia="宋体" w:cs="宋体"/>
          <w:b/>
          <w:bCs/>
          <w:kern w:val="2"/>
          <w:sz w:val="32"/>
          <w:szCs w:val="20"/>
          <w:lang w:val="en-US" w:eastAsia="zh-CN" w:bidi="ar-SA"/>
        </w:rPr>
      </w:pPr>
    </w:p>
    <w:p>
      <w:pPr>
        <w:widowControl w:val="0"/>
        <w:spacing w:line="360" w:lineRule="auto"/>
        <w:ind w:firstLine="2249" w:firstLineChars="700"/>
        <w:jc w:val="both"/>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采购人：楚雄医药高等专科学校</w:t>
      </w:r>
    </w:p>
    <w:p>
      <w:pPr>
        <w:widowControl w:val="0"/>
        <w:spacing w:line="360" w:lineRule="auto"/>
        <w:jc w:val="center"/>
        <w:rPr>
          <w:rFonts w:hint="eastAsia" w:ascii="宋体" w:hAnsi="宋体" w:eastAsia="宋体" w:cs="宋体"/>
          <w:b/>
          <w:bCs/>
          <w:kern w:val="2"/>
          <w:sz w:val="32"/>
          <w:szCs w:val="32"/>
          <w:lang w:val="en-US" w:eastAsia="zh-CN" w:bidi="ar-SA"/>
        </w:rPr>
      </w:pPr>
    </w:p>
    <w:p>
      <w:pPr>
        <w:widowControl w:val="0"/>
        <w:spacing w:line="360" w:lineRule="auto"/>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2022年5月</w:t>
      </w:r>
    </w:p>
    <w:p>
      <w:pPr>
        <w:widowControl w:val="0"/>
        <w:spacing w:line="360" w:lineRule="auto"/>
        <w:jc w:val="center"/>
        <w:rPr>
          <w:rFonts w:hint="eastAsia" w:ascii="宋体" w:hAnsi="宋体" w:eastAsia="宋体" w:cs="宋体"/>
          <w:b/>
          <w:bCs/>
          <w:kern w:val="2"/>
          <w:sz w:val="32"/>
          <w:szCs w:val="32"/>
          <w:lang w:val="en-US" w:eastAsia="zh-CN" w:bidi="ar-SA"/>
        </w:rPr>
        <w:sectPr>
          <w:headerReference r:id="rId3" w:type="first"/>
          <w:footerReference r:id="rId4" w:type="default"/>
          <w:footerReference r:id="rId5" w:type="even"/>
          <w:pgSz w:w="11906" w:h="16838"/>
          <w:pgMar w:top="1418" w:right="1134" w:bottom="1134" w:left="1417" w:header="779" w:footer="720" w:gutter="0"/>
          <w:pgNumType w:start="1"/>
          <w:cols w:space="720" w:num="1"/>
          <w:titlePg/>
          <w:docGrid w:linePitch="331" w:charSpace="0"/>
        </w:sectPr>
      </w:pPr>
    </w:p>
    <w:p>
      <w:pPr>
        <w:keepNext/>
        <w:keepLines/>
        <w:widowControl/>
        <w:tabs>
          <w:tab w:val="left" w:pos="360"/>
        </w:tabs>
        <w:adjustRightInd/>
        <w:spacing w:before="240" w:line="259" w:lineRule="auto"/>
        <w:ind w:left="0" w:firstLine="0"/>
        <w:jc w:val="center"/>
        <w:textAlignment w:val="auto"/>
        <w:outlineLvl w:val="9"/>
        <w:rPr>
          <w:rFonts w:hint="eastAsia" w:ascii="宋体" w:hAnsi="宋体" w:eastAsia="宋体" w:cs="宋体"/>
          <w:b/>
          <w:bCs w:val="0"/>
          <w:color w:val="auto"/>
          <w:kern w:val="0"/>
          <w:sz w:val="44"/>
          <w:szCs w:val="44"/>
          <w:lang w:val="en-US" w:eastAsia="zh-CN" w:bidi="ar-SA"/>
        </w:rPr>
      </w:pPr>
      <w:r>
        <w:rPr>
          <w:rFonts w:hint="eastAsia" w:ascii="宋体" w:hAnsi="宋体" w:eastAsia="宋体" w:cs="宋体"/>
          <w:b/>
          <w:bCs w:val="0"/>
          <w:color w:val="auto"/>
          <w:kern w:val="0"/>
          <w:sz w:val="44"/>
          <w:szCs w:val="44"/>
          <w:lang w:val="zh-CN" w:eastAsia="zh-CN" w:bidi="ar-SA"/>
        </w:rPr>
        <w:t>目录</w:t>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bCs/>
          <w:caps/>
          <w:kern w:val="2"/>
          <w:sz w:val="21"/>
          <w:szCs w:val="20"/>
          <w:lang w:val="en-US" w:eastAsia="zh-CN" w:bidi="ar-SA"/>
        </w:rPr>
        <w:fldChar w:fldCharType="begin"/>
      </w:r>
      <w:r>
        <w:rPr>
          <w:rFonts w:hint="default" w:ascii="Times New Roman" w:hAnsi="Times New Roman" w:eastAsia="宋体" w:cs="Times New Roman"/>
          <w:bCs/>
          <w:caps/>
          <w:kern w:val="2"/>
          <w:sz w:val="21"/>
          <w:szCs w:val="20"/>
          <w:lang w:val="en-US" w:eastAsia="zh-CN" w:bidi="ar-SA"/>
        </w:rPr>
        <w:instrText xml:space="preserve">TOC \o "1-3" \h \u </w:instrText>
      </w:r>
      <w:r>
        <w:rPr>
          <w:rFonts w:hint="default" w:ascii="Times New Roman" w:hAnsi="Times New Roman" w:eastAsia="宋体" w:cs="Times New Roman"/>
          <w:bCs/>
          <w:caps/>
          <w:kern w:val="2"/>
          <w:sz w:val="21"/>
          <w:szCs w:val="20"/>
          <w:lang w:val="en-US" w:eastAsia="zh-CN" w:bidi="ar-SA"/>
        </w:rPr>
        <w:fldChar w:fldCharType="separate"/>
      </w:r>
      <w:r>
        <w:rPr>
          <w:rFonts w:hint="default" w:ascii="Times New Roman" w:hAnsi="Times New Roman" w:eastAsia="宋体" w:cs="Times New Roman"/>
          <w:bCs/>
          <w:caps/>
          <w:kern w:val="2"/>
          <w:szCs w:val="20"/>
          <w:lang w:val="en-US" w:eastAsia="zh-CN" w:bidi="ar-SA"/>
        </w:rPr>
        <w:fldChar w:fldCharType="begin"/>
      </w:r>
      <w:r>
        <w:rPr>
          <w:rFonts w:hint="default" w:ascii="Times New Roman" w:hAnsi="Times New Roman" w:eastAsia="宋体" w:cs="Times New Roman"/>
          <w:bCs/>
          <w:caps/>
          <w:kern w:val="2"/>
          <w:szCs w:val="20"/>
          <w:lang w:val="en-US" w:eastAsia="zh-CN" w:bidi="ar-SA"/>
        </w:rPr>
        <w:instrText xml:space="preserve"> HYPERLINK \l _Toc11712 </w:instrText>
      </w:r>
      <w:r>
        <w:rPr>
          <w:rFonts w:hint="default" w:ascii="Times New Roman" w:hAnsi="Times New Roman" w:eastAsia="宋体" w:cs="Times New Roman"/>
          <w:bCs/>
          <w:caps/>
          <w:kern w:val="2"/>
          <w:szCs w:val="20"/>
          <w:lang w:val="en-US" w:eastAsia="zh-CN" w:bidi="ar-SA"/>
        </w:rPr>
        <w:fldChar w:fldCharType="separate"/>
      </w:r>
      <w:r>
        <w:rPr>
          <w:rFonts w:hint="default" w:ascii="Times New Roman" w:hAnsi="Times New Roman" w:cs="Times New Roman"/>
          <w:lang w:val="en-US" w:eastAsia="zh-CN"/>
        </w:rPr>
        <w:t>第一章   竞争性谈判公告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_Toc11712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bCs/>
          <w:caps/>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_Toc4854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bCs w:val="0"/>
          <w:lang w:val="en-US" w:eastAsia="zh-CN"/>
        </w:rPr>
        <w:t xml:space="preserve">1.1 </w:t>
      </w:r>
      <w:r>
        <w:rPr>
          <w:rFonts w:hint="default" w:ascii="Times New Roman" w:hAnsi="Times New Roman" w:eastAsia="宋体" w:cs="Times New Roman"/>
          <w:bCs w:val="0"/>
        </w:rPr>
        <w:t>项目基本情况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_Toc4854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_Toc18912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 xml:space="preserve">1.2 </w:t>
      </w:r>
      <w:r>
        <w:rPr>
          <w:rFonts w:hint="default" w:ascii="Times New Roman" w:hAnsi="Times New Roman" w:eastAsia="宋体" w:cs="Times New Roman"/>
        </w:rPr>
        <w:t>申请人的资格要求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_Toc18912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_Toc31282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 xml:space="preserve">1.3 </w:t>
      </w:r>
      <w:r>
        <w:rPr>
          <w:rFonts w:hint="default" w:ascii="Times New Roman" w:hAnsi="Times New Roman" w:eastAsia="宋体" w:cs="Times New Roman"/>
        </w:rPr>
        <w:t>获取采购文件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_Toc31282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_Toc4090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 xml:space="preserve">1.4 </w:t>
      </w:r>
      <w:r>
        <w:rPr>
          <w:rFonts w:hint="default" w:ascii="Times New Roman" w:hAnsi="Times New Roman" w:eastAsia="宋体" w:cs="Times New Roman"/>
        </w:rPr>
        <w:t>响应文件提交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_Toc4090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_Toc10394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1.5 开启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_Toc10394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_Toc9797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 xml:space="preserve">1.6 </w:t>
      </w:r>
      <w:r>
        <w:rPr>
          <w:rFonts w:hint="default" w:ascii="Times New Roman" w:hAnsi="Times New Roman" w:eastAsia="宋体" w:cs="Times New Roman"/>
        </w:rPr>
        <w:t>其他补充事宜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_Toc9797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_Toc5710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 xml:space="preserve">1.7 </w:t>
      </w:r>
      <w:r>
        <w:rPr>
          <w:rFonts w:hint="default" w:ascii="Times New Roman" w:hAnsi="Times New Roman" w:eastAsia="宋体" w:cs="Times New Roman"/>
        </w:rPr>
        <w:t>谈判保证金</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_Toc5710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_Toc3073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 xml:space="preserve">1.8 </w:t>
      </w:r>
      <w:r>
        <w:rPr>
          <w:rFonts w:hint="default" w:ascii="Times New Roman" w:hAnsi="Times New Roman" w:eastAsia="宋体" w:cs="Times New Roman"/>
        </w:rPr>
        <w:t>疫情防控要求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_Toc3073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_Toc5809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bCs w:val="0"/>
          <w:lang w:val="en-US" w:eastAsia="zh-CN"/>
        </w:rPr>
        <w:t xml:space="preserve">1.9 </w:t>
      </w:r>
      <w:r>
        <w:rPr>
          <w:rFonts w:hint="default" w:ascii="Times New Roman" w:hAnsi="Times New Roman" w:eastAsia="宋体" w:cs="Times New Roman"/>
          <w:bCs w:val="0"/>
          <w:lang w:eastAsia="zh-CN"/>
        </w:rPr>
        <w:t>联系方式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_Toc5809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_Toc15289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第二章   供应商须知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_Toc15289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_Toc9220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2.1 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_Toc9220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_Toc12523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2.2 谈判文件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_Toc12523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_Toc5386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2.3 响应文件的编制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_Toc5386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_Toc29601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2.4 响应文件的提交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_Toc29601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_Toc29874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2.5 响应文件开启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_Toc29874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_Toc8689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 xml:space="preserve">2.6 </w:t>
      </w:r>
      <w:r>
        <w:rPr>
          <w:rFonts w:hint="default" w:ascii="Times New Roman" w:hAnsi="Times New Roman" w:eastAsia="宋体" w:cs="Times New Roman"/>
        </w:rPr>
        <w:t>响应文件的评审与谈判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_Toc8689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_Toc13327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2.7 成交结果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_Toc13327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_Toc28303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cs="Times New Roman"/>
          <w:lang w:val="en-US" w:eastAsia="zh-CN"/>
        </w:rPr>
        <w:t>第三章   合同书样式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_Toc28303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_Toc28978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cs="Times New Roman"/>
          <w:lang w:val="en-US" w:eastAsia="zh-CN"/>
        </w:rPr>
        <w:t>第四章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_Toc28978 \h </w:instrText>
      </w:r>
      <w:r>
        <w:rPr>
          <w:rFonts w:hint="default" w:ascii="Times New Roman" w:hAnsi="Times New Roman" w:cs="Times New Roman"/>
        </w:rPr>
        <w:fldChar w:fldCharType="separate"/>
      </w:r>
      <w:r>
        <w:rPr>
          <w:rFonts w:hint="default" w:ascii="Times New Roman" w:hAnsi="Times New Roman" w:cs="Times New Roman"/>
        </w:rPr>
        <w:t>23</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_Toc1231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 xml:space="preserve">4.1 </w:t>
      </w:r>
      <w:r>
        <w:rPr>
          <w:rFonts w:hint="default" w:ascii="Times New Roman" w:hAnsi="Times New Roman" w:eastAsia="宋体" w:cs="Times New Roman"/>
        </w:rPr>
        <w:t>谈判响应函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_Toc1231 \h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_Toc8602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 xml:space="preserve">4.2 </w:t>
      </w:r>
      <w:r>
        <w:rPr>
          <w:rFonts w:hint="default" w:ascii="Times New Roman" w:hAnsi="Times New Roman" w:eastAsia="宋体" w:cs="Times New Roman"/>
        </w:rPr>
        <w:t>竞争性谈判报价一览表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_Toc8602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_Toc1476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 xml:space="preserve">4.3 </w:t>
      </w:r>
      <w:r>
        <w:rPr>
          <w:rFonts w:hint="default" w:ascii="Times New Roman" w:hAnsi="Times New Roman" w:eastAsia="宋体" w:cs="Times New Roman"/>
        </w:rPr>
        <w:t>分项报价表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_Toc1476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_Toc9556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4.4 技术规格偏离表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_Toc9556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_Toc12138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szCs w:val="21"/>
          <w:lang w:val="en-US" w:eastAsia="zh-CN"/>
        </w:rPr>
        <w:t xml:space="preserve">4.5 </w:t>
      </w:r>
      <w:r>
        <w:rPr>
          <w:rFonts w:hint="default" w:ascii="Times New Roman" w:hAnsi="Times New Roman" w:eastAsia="宋体" w:cs="Times New Roman"/>
          <w:bCs/>
          <w:szCs w:val="32"/>
        </w:rPr>
        <w:t>商务条款偏离表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_Toc12138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_Toc12298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4.6 资格证明文件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_Toc12298 \h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_Toc1524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 xml:space="preserve">4.6.1 </w:t>
      </w:r>
      <w:r>
        <w:rPr>
          <w:rFonts w:hint="default" w:ascii="Times New Roman" w:hAnsi="Times New Roman" w:eastAsia="宋体" w:cs="Times New Roman"/>
        </w:rPr>
        <w:t>营业执照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_Toc1524 \h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_Toc8075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4.6.2 法定代表人资格证明书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_Toc8075 \h </w:instrText>
      </w:r>
      <w:r>
        <w:rPr>
          <w:rFonts w:hint="default" w:ascii="Times New Roman" w:hAnsi="Times New Roman" w:cs="Times New Roman"/>
        </w:rPr>
        <w:fldChar w:fldCharType="separate"/>
      </w:r>
      <w:r>
        <w:rPr>
          <w:rFonts w:hint="default" w:ascii="Times New Roman" w:hAnsi="Times New Roman" w:cs="Times New Roman"/>
        </w:rPr>
        <w:t>32</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_Toc22709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4.6.3 法定代表人授权委托书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_Toc22709 \h </w:instrText>
      </w:r>
      <w:r>
        <w:rPr>
          <w:rFonts w:hint="default" w:ascii="Times New Roman" w:hAnsi="Times New Roman" w:cs="Times New Roman"/>
        </w:rPr>
        <w:fldChar w:fldCharType="separate"/>
      </w:r>
      <w:r>
        <w:rPr>
          <w:rFonts w:hint="default" w:ascii="Times New Roman" w:hAnsi="Times New Roman" w:cs="Times New Roman"/>
        </w:rPr>
        <w:t>33</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_Toc21397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4.6.4 书面声明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_Toc21397 \h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_Toc1865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4.7 构成响应文件的其他资料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_Toc1865 \h </w:instrText>
      </w:r>
      <w:r>
        <w:rPr>
          <w:rFonts w:hint="default" w:ascii="Times New Roman" w:hAnsi="Times New Roman" w:cs="Times New Roman"/>
        </w:rPr>
        <w:fldChar w:fldCharType="separate"/>
      </w:r>
      <w:r>
        <w:rPr>
          <w:rFonts w:hint="default" w:ascii="Times New Roman" w:hAnsi="Times New Roman" w:cs="Times New Roman"/>
        </w:rPr>
        <w:t>35</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_Toc30950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cs="Times New Roman"/>
          <w:lang w:val="en-US" w:eastAsia="zh-CN"/>
        </w:rPr>
        <w:t>4.8 中小企业（残疾人福利性单位、监狱企业）声明函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_Toc30950 \h </w:instrText>
      </w:r>
      <w:r>
        <w:rPr>
          <w:rFonts w:hint="default" w:ascii="Times New Roman" w:hAnsi="Times New Roman" w:cs="Times New Roman"/>
        </w:rPr>
        <w:fldChar w:fldCharType="separate"/>
      </w:r>
      <w:r>
        <w:rPr>
          <w:rFonts w:hint="default" w:ascii="Times New Roman" w:hAnsi="Times New Roman" w:cs="Times New Roman"/>
        </w:rPr>
        <w:t>36</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_Toc20693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cs="Times New Roman"/>
          <w:szCs w:val="28"/>
          <w:lang w:val="en-US" w:eastAsia="zh-CN"/>
        </w:rPr>
        <w:t>4.8.1 中小企业声明函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_Toc20693 \h </w:instrText>
      </w:r>
      <w:r>
        <w:rPr>
          <w:rFonts w:hint="default" w:ascii="Times New Roman" w:hAnsi="Times New Roman" w:cs="Times New Roman"/>
        </w:rPr>
        <w:fldChar w:fldCharType="separate"/>
      </w:r>
      <w:r>
        <w:rPr>
          <w:rFonts w:hint="default" w:ascii="Times New Roman" w:hAnsi="Times New Roman" w:cs="Times New Roman"/>
        </w:rPr>
        <w:t>36</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_Toc2528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kern w:val="2"/>
          <w:szCs w:val="28"/>
          <w:lang w:val="en-US" w:eastAsia="zh-CN" w:bidi="ar-SA"/>
        </w:rPr>
        <w:t>4.8.2 残疾人福利性单位声明函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_Toc2528 \h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_Toc1706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kern w:val="2"/>
          <w:szCs w:val="28"/>
          <w:lang w:val="en-US" w:eastAsia="zh-CN" w:bidi="ar-SA"/>
        </w:rPr>
        <w:t>4.8.3 监狱企业证明文件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_Toc1706 \h </w:instrText>
      </w:r>
      <w:r>
        <w:rPr>
          <w:rFonts w:hint="default" w:ascii="Times New Roman" w:hAnsi="Times New Roman" w:cs="Times New Roman"/>
        </w:rPr>
        <w:fldChar w:fldCharType="separate"/>
      </w:r>
      <w:r>
        <w:rPr>
          <w:rFonts w:hint="default" w:ascii="Times New Roman" w:hAnsi="Times New Roman" w:cs="Times New Roman"/>
        </w:rPr>
        <w:t>38</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_Toc6466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cs="Times New Roman"/>
          <w:lang w:val="en-US" w:eastAsia="zh-CN"/>
        </w:rPr>
        <w:t>第五章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_Toc6466 \h </w:instrText>
      </w:r>
      <w:r>
        <w:rPr>
          <w:rFonts w:hint="default" w:ascii="Times New Roman" w:hAnsi="Times New Roman" w:cs="Times New Roman"/>
        </w:rPr>
        <w:fldChar w:fldCharType="separate"/>
      </w:r>
      <w:r>
        <w:rPr>
          <w:rFonts w:hint="default" w:ascii="Times New Roman" w:hAnsi="Times New Roman" w:cs="Times New Roman"/>
        </w:rPr>
        <w:t>39</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_Toc1156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5.1 计划采购清单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_Toc1156 \h </w:instrText>
      </w:r>
      <w:r>
        <w:rPr>
          <w:rFonts w:hint="default" w:ascii="Times New Roman" w:hAnsi="Times New Roman" w:cs="Times New Roman"/>
        </w:rPr>
        <w:fldChar w:fldCharType="separate"/>
      </w:r>
      <w:r>
        <w:rPr>
          <w:rFonts w:hint="default" w:ascii="Times New Roman" w:hAnsi="Times New Roman" w:cs="Times New Roman"/>
        </w:rPr>
        <w:t>39</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_Toc24524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5.2 交货要求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_Toc24524 \h </w:instrText>
      </w:r>
      <w:r>
        <w:rPr>
          <w:rFonts w:hint="default" w:ascii="Times New Roman" w:hAnsi="Times New Roman" w:cs="Times New Roman"/>
        </w:rPr>
        <w:fldChar w:fldCharType="separate"/>
      </w:r>
      <w:r>
        <w:rPr>
          <w:rFonts w:hint="default" w:ascii="Times New Roman" w:hAnsi="Times New Roman" w:cs="Times New Roman"/>
        </w:rPr>
        <w:t>41</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_Toc9276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lang w:val="en-US" w:eastAsia="zh-CN"/>
        </w:rPr>
        <w:t>5.3 验收标准和方法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_Toc9276 \h </w:instrText>
      </w:r>
      <w:r>
        <w:rPr>
          <w:rFonts w:hint="default" w:ascii="Times New Roman" w:hAnsi="Times New Roman" w:cs="Times New Roman"/>
        </w:rPr>
        <w:fldChar w:fldCharType="separate"/>
      </w:r>
      <w:r>
        <w:rPr>
          <w:rFonts w:hint="default" w:ascii="Times New Roman" w:hAnsi="Times New Roman" w:cs="Times New Roman"/>
        </w:rPr>
        <w:t>41</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pStyle w:val="13"/>
        <w:tabs>
          <w:tab w:val="right" w:leader="dot" w:pos="9355"/>
        </w:tabs>
      </w:pPr>
      <w:r>
        <w:rPr>
          <w:rFonts w:hint="default" w:ascii="Times New Roman" w:hAnsi="Times New Roman" w:eastAsia="宋体" w:cs="Times New Roman"/>
          <w:kern w:val="2"/>
          <w:szCs w:val="20"/>
          <w:lang w:val="en-US" w:eastAsia="zh-CN" w:bidi="ar-SA"/>
        </w:rPr>
        <w:fldChar w:fldCharType="begin"/>
      </w:r>
      <w:r>
        <w:rPr>
          <w:rFonts w:hint="default" w:ascii="Times New Roman" w:hAnsi="Times New Roman" w:eastAsia="宋体" w:cs="Times New Roman"/>
          <w:kern w:val="2"/>
          <w:szCs w:val="20"/>
          <w:lang w:val="en-US" w:eastAsia="zh-CN" w:bidi="ar-SA"/>
        </w:rPr>
        <w:instrText xml:space="preserve"> HYPERLINK \l _Toc3007 </w:instrText>
      </w:r>
      <w:r>
        <w:rPr>
          <w:rFonts w:hint="default" w:ascii="Times New Roman" w:hAnsi="Times New Roman" w:eastAsia="宋体" w:cs="Times New Roman"/>
          <w:kern w:val="2"/>
          <w:szCs w:val="20"/>
          <w:lang w:val="en-US" w:eastAsia="zh-CN" w:bidi="ar-SA"/>
        </w:rPr>
        <w:fldChar w:fldCharType="separate"/>
      </w:r>
      <w:r>
        <w:rPr>
          <w:rFonts w:hint="default" w:ascii="Times New Roman" w:hAnsi="Times New Roman" w:eastAsia="宋体" w:cs="Times New Roman"/>
          <w:bCs/>
          <w:kern w:val="44"/>
          <w:szCs w:val="32"/>
          <w:lang w:val="en-US" w:eastAsia="zh-CN" w:bidi="ar-SA"/>
        </w:rPr>
        <w:t>第六章  评审办法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_Toc3007 \h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宋体" w:cs="Times New Roman"/>
          <w:kern w:val="2"/>
          <w:szCs w:val="20"/>
          <w:lang w:val="en-US" w:eastAsia="zh-CN" w:bidi="ar-SA"/>
        </w:rPr>
        <w:fldChar w:fldCharType="end"/>
      </w:r>
    </w:p>
    <w:p>
      <w:pPr>
        <w:spacing w:line="360" w:lineRule="auto"/>
        <w:jc w:val="center"/>
        <w:rPr>
          <w:rFonts w:hint="eastAsia" w:ascii="宋体" w:hAnsi="宋体" w:eastAsia="宋体" w:cs="宋体"/>
          <w:b/>
          <w:bCs/>
          <w:sz w:val="32"/>
          <w:szCs w:val="32"/>
        </w:rPr>
        <w:sectPr>
          <w:pgSz w:w="11906" w:h="16838"/>
          <w:pgMar w:top="1418" w:right="1134" w:bottom="1134" w:left="1417" w:header="779" w:footer="720" w:gutter="0"/>
          <w:pgNumType w:start="1"/>
          <w:cols w:space="720" w:num="1"/>
          <w:titlePg/>
          <w:docGrid w:linePitch="331" w:charSpace="0"/>
        </w:sectPr>
      </w:pPr>
      <w:r>
        <w:rPr>
          <w:rFonts w:hint="default" w:ascii="Times New Roman" w:hAnsi="Times New Roman" w:eastAsia="宋体" w:cs="Times New Roman"/>
          <w:kern w:val="2"/>
          <w:szCs w:val="20"/>
          <w:lang w:val="en-US" w:eastAsia="zh-CN" w:bidi="ar-SA"/>
        </w:rPr>
        <w:fldChar w:fldCharType="end"/>
      </w:r>
    </w:p>
    <w:p>
      <w:pPr>
        <w:pStyle w:val="4"/>
        <w:bidi w:val="0"/>
        <w:jc w:val="center"/>
        <w:rPr>
          <w:rFonts w:hint="eastAsia" w:ascii="宋体" w:hAnsi="宋体" w:eastAsia="宋体" w:cs="宋体"/>
        </w:rPr>
      </w:pPr>
      <w:bookmarkStart w:id="0" w:name="_Toc20587_WPSOffice_Level1"/>
      <w:bookmarkStart w:id="1" w:name="_Toc11712"/>
      <w:bookmarkStart w:id="2" w:name="_第一章__招标公告"/>
      <w:bookmarkStart w:id="3" w:name="_Toc60996674"/>
      <w:r>
        <w:rPr>
          <w:rFonts w:hint="default" w:ascii="Times New Roman" w:hAnsi="Times New Roman" w:cs="Times New Roman"/>
          <w:lang w:val="en-US" w:eastAsia="zh-CN"/>
        </w:rPr>
        <w:t>第一章   竞争性谈判公告</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为做好我校人民武装部试点建设工作，现需采购人民武装部建设物资一批</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参照《政府采购法》及我校采购管理相关规定，本次</w:t>
      </w:r>
      <w:r>
        <w:rPr>
          <w:rFonts w:hint="eastAsia" w:ascii="Times New Roman" w:hAnsi="Times New Roman" w:eastAsia="宋体" w:cs="Times New Roman"/>
          <w:sz w:val="24"/>
          <w:szCs w:val="24"/>
          <w:lang w:val="en-US" w:eastAsia="zh-CN"/>
        </w:rPr>
        <w:t>人民武装部建设物资</w:t>
      </w:r>
      <w:r>
        <w:rPr>
          <w:rFonts w:hint="default" w:ascii="Times New Roman" w:hAnsi="Times New Roman" w:eastAsia="宋体" w:cs="Times New Roman"/>
          <w:sz w:val="24"/>
          <w:szCs w:val="24"/>
          <w:lang w:eastAsia="zh-CN"/>
        </w:rPr>
        <w:t>采购采用竞争性谈判</w:t>
      </w:r>
      <w:r>
        <w:rPr>
          <w:rFonts w:hint="default" w:ascii="Times New Roman" w:hAnsi="Times New Roman" w:eastAsia="宋体" w:cs="Times New Roman"/>
          <w:sz w:val="24"/>
          <w:szCs w:val="24"/>
        </w:rPr>
        <w:t>的方式进行。</w:t>
      </w:r>
      <w:r>
        <w:rPr>
          <w:rFonts w:hint="eastAsia" w:ascii="Times New Roman" w:hAnsi="Times New Roman" w:eastAsia="宋体" w:cs="Times New Roman"/>
          <w:sz w:val="24"/>
          <w:szCs w:val="24"/>
          <w:lang w:val="en-US" w:eastAsia="zh-CN"/>
        </w:rPr>
        <w:t>欢迎</w:t>
      </w:r>
      <w:r>
        <w:rPr>
          <w:rFonts w:hint="default" w:ascii="Times New Roman" w:hAnsi="Times New Roman" w:eastAsia="宋体" w:cs="Times New Roman"/>
          <w:sz w:val="24"/>
          <w:szCs w:val="24"/>
        </w:rPr>
        <w:t>具有相应资格及具有完成本项目能力的</w:t>
      </w:r>
      <w:r>
        <w:rPr>
          <w:rFonts w:hint="eastAsia" w:ascii="Times New Roman" w:hAnsi="Times New Roman" w:eastAsia="宋体" w:cs="Times New Roman"/>
          <w:sz w:val="24"/>
          <w:szCs w:val="24"/>
          <w:lang w:val="en-US" w:eastAsia="zh-CN"/>
        </w:rPr>
        <w:t>潜在</w:t>
      </w:r>
      <w:r>
        <w:rPr>
          <w:rFonts w:hint="default" w:ascii="Times New Roman" w:hAnsi="Times New Roman" w:eastAsia="宋体" w:cs="Times New Roman"/>
          <w:sz w:val="24"/>
          <w:szCs w:val="24"/>
        </w:rPr>
        <w:t>供应商参加。</w:t>
      </w:r>
    </w:p>
    <w:p>
      <w:pPr>
        <w:pStyle w:val="5"/>
        <w:bidi w:val="0"/>
        <w:rPr>
          <w:rFonts w:hint="eastAsia" w:ascii="宋体" w:hAnsi="宋体" w:eastAsia="宋体" w:cs="宋体"/>
          <w:b/>
          <w:bCs w:val="0"/>
          <w:szCs w:val="28"/>
        </w:rPr>
      </w:pPr>
      <w:bookmarkStart w:id="4" w:name="_Toc35393790"/>
      <w:bookmarkStart w:id="5" w:name="_Toc44621995"/>
      <w:bookmarkStart w:id="6" w:name="_Toc28359002"/>
      <w:bookmarkStart w:id="7" w:name="_Toc4854"/>
      <w:bookmarkStart w:id="8" w:name="_Toc28359079"/>
      <w:bookmarkStart w:id="9" w:name="_Toc29731_WPSOffice_Level2"/>
      <w:bookmarkStart w:id="10" w:name="_Toc35393621"/>
      <w:bookmarkStart w:id="11" w:name="_Hlk24379207"/>
      <w:r>
        <w:rPr>
          <w:rFonts w:hint="default" w:ascii="Times New Roman" w:hAnsi="Times New Roman" w:eastAsia="宋体" w:cs="Times New Roman"/>
          <w:b/>
          <w:bCs w:val="0"/>
          <w:lang w:val="en-US" w:eastAsia="zh-CN"/>
        </w:rPr>
        <w:t xml:space="preserve">1.1 </w:t>
      </w:r>
      <w:r>
        <w:rPr>
          <w:rFonts w:hint="default" w:ascii="Times New Roman" w:hAnsi="Times New Roman" w:eastAsia="宋体" w:cs="Times New Roman"/>
          <w:b/>
          <w:bCs w:val="0"/>
        </w:rPr>
        <w:t>项目基本情况</w:t>
      </w:r>
      <w:bookmarkEnd w:id="4"/>
      <w:bookmarkEnd w:id="5"/>
      <w:bookmarkEnd w:id="6"/>
      <w:bookmarkEnd w:id="7"/>
      <w:bookmarkEnd w:id="8"/>
      <w:bookmarkEnd w:id="9"/>
      <w:bookmarkEnd w:id="10"/>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项目编号：</w:t>
      </w:r>
      <w:r>
        <w:rPr>
          <w:rFonts w:hint="default" w:ascii="Times New Roman" w:hAnsi="Times New Roman" w:eastAsia="宋体" w:cs="Times New Roman"/>
          <w:sz w:val="24"/>
          <w:szCs w:val="24"/>
          <w:lang w:val="en-US" w:eastAsia="zh-CN"/>
        </w:rPr>
        <w:t>CXYZC【2022】第</w:t>
      </w:r>
      <w:r>
        <w:rPr>
          <w:rFonts w:hint="eastAsia"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lang w:val="en-US" w:eastAsia="zh-CN"/>
        </w:rPr>
        <w:t>号</w:t>
      </w:r>
    </w:p>
    <w:p>
      <w:pPr>
        <w:spacing w:line="46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项目名称：</w:t>
      </w:r>
      <w:r>
        <w:rPr>
          <w:rFonts w:hint="default" w:ascii="Times New Roman" w:hAnsi="Times New Roman" w:eastAsia="宋体" w:cs="Times New Roman"/>
          <w:sz w:val="24"/>
          <w:szCs w:val="24"/>
          <w:lang w:val="en-US" w:eastAsia="zh-CN"/>
        </w:rPr>
        <w:t>楚雄医药高等专科学校人民武装部试点建设物资采购项目</w:t>
      </w:r>
    </w:p>
    <w:p>
      <w:pPr>
        <w:spacing w:line="46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采购方式：竞争性谈判</w:t>
      </w:r>
    </w:p>
    <w:bookmarkEnd w:id="11"/>
    <w:p>
      <w:pPr>
        <w:spacing w:line="460" w:lineRule="exact"/>
        <w:ind w:firstLine="480" w:firstLineChars="200"/>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预算金额：2500</w:t>
      </w:r>
      <w:r>
        <w:rPr>
          <w:rFonts w:hint="eastAsia" w:ascii="Times New Roman" w:hAnsi="Times New Roman" w:eastAsia="宋体" w:cs="Times New Roman"/>
          <w:sz w:val="24"/>
          <w:szCs w:val="24"/>
          <w:highlight w:val="none"/>
          <w:lang w:val="en-US" w:eastAsia="zh-CN"/>
        </w:rPr>
        <w:t>00.00元</w:t>
      </w:r>
    </w:p>
    <w:p>
      <w:pPr>
        <w:spacing w:line="46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rPr>
        <w:t>最高限价：2500</w:t>
      </w:r>
      <w:r>
        <w:rPr>
          <w:rFonts w:hint="eastAsia" w:ascii="Times New Roman" w:hAnsi="Times New Roman" w:eastAsia="宋体" w:cs="Times New Roman"/>
          <w:sz w:val="24"/>
          <w:szCs w:val="24"/>
          <w:highlight w:val="none"/>
          <w:lang w:val="en-US" w:eastAsia="zh-CN"/>
        </w:rPr>
        <w:t>00.00元</w:t>
      </w:r>
    </w:p>
    <w:p>
      <w:pPr>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采购需求：</w:t>
      </w:r>
      <w:r>
        <w:rPr>
          <w:rFonts w:hint="default" w:ascii="Times New Roman" w:hAnsi="Times New Roman" w:eastAsia="宋体" w:cs="Times New Roman"/>
          <w:sz w:val="24"/>
          <w:szCs w:val="24"/>
          <w:lang w:val="en-US" w:eastAsia="zh-CN"/>
        </w:rPr>
        <w:t>采购人民武装部建设物资一批</w:t>
      </w:r>
      <w:r>
        <w:rPr>
          <w:rFonts w:hint="eastAsia" w:ascii="Times New Roman" w:hAnsi="Times New Roman" w:eastAsia="宋体" w:cs="Times New Roman"/>
          <w:sz w:val="24"/>
          <w:szCs w:val="24"/>
          <w:lang w:val="en-US" w:eastAsia="zh-CN"/>
        </w:rPr>
        <w:t>，采购清单及要求，详见“第五章 采购需求”。</w:t>
      </w:r>
    </w:p>
    <w:p>
      <w:pPr>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合同履行期限：</w:t>
      </w:r>
      <w:r>
        <w:rPr>
          <w:rFonts w:hint="eastAsia" w:ascii="Times New Roman" w:hAnsi="Times New Roman" w:eastAsia="宋体" w:cs="Times New Roman"/>
          <w:sz w:val="24"/>
          <w:szCs w:val="24"/>
          <w:highlight w:val="none"/>
          <w:lang w:eastAsia="zh-CN"/>
        </w:rPr>
        <w:t>供货时间为</w:t>
      </w:r>
      <w:r>
        <w:rPr>
          <w:rFonts w:hint="eastAsia" w:ascii="Times New Roman" w:hAnsi="Times New Roman" w:eastAsia="宋体" w:cs="Times New Roman"/>
          <w:sz w:val="24"/>
          <w:szCs w:val="24"/>
          <w:highlight w:val="none"/>
          <w:lang w:val="en-US" w:eastAsia="zh-CN"/>
        </w:rPr>
        <w:t>合同签订</w:t>
      </w:r>
      <w:r>
        <w:rPr>
          <w:rFonts w:hint="eastAsia" w:ascii="Times New Roman" w:hAnsi="Times New Roman" w:eastAsia="宋体" w:cs="Times New Roman"/>
          <w:sz w:val="24"/>
          <w:szCs w:val="24"/>
          <w:highlight w:val="none"/>
          <w:lang w:eastAsia="zh-CN"/>
        </w:rPr>
        <w:t>后</w:t>
      </w:r>
      <w:r>
        <w:rPr>
          <w:rFonts w:hint="eastAsia" w:ascii="Times New Roman" w:hAnsi="Times New Roman" w:eastAsia="宋体" w:cs="Times New Roman"/>
          <w:sz w:val="24"/>
          <w:szCs w:val="24"/>
          <w:highlight w:val="none"/>
          <w:lang w:val="en-US" w:eastAsia="zh-CN"/>
        </w:rPr>
        <w:t>3个日历天内。</w:t>
      </w:r>
    </w:p>
    <w:p>
      <w:pPr>
        <w:spacing w:line="46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本项目不接受联合体投标。</w:t>
      </w:r>
    </w:p>
    <w:p>
      <w:pPr>
        <w:pStyle w:val="5"/>
        <w:bidi w:val="0"/>
        <w:rPr>
          <w:rFonts w:hint="default" w:ascii="Times New Roman" w:hAnsi="Times New Roman" w:eastAsia="宋体" w:cs="Times New Roman"/>
        </w:rPr>
      </w:pPr>
      <w:bookmarkStart w:id="12" w:name="_Toc35393622"/>
      <w:bookmarkStart w:id="13" w:name="_Toc31955_WPSOffice_Level2"/>
      <w:bookmarkStart w:id="14" w:name="_Toc28359003"/>
      <w:bookmarkStart w:id="15" w:name="_Toc35393791"/>
      <w:bookmarkStart w:id="16" w:name="_Toc18912"/>
      <w:bookmarkStart w:id="17" w:name="_Toc44621996"/>
      <w:bookmarkStart w:id="18" w:name="_Toc28359080"/>
      <w:r>
        <w:rPr>
          <w:rFonts w:hint="default" w:ascii="Times New Roman" w:hAnsi="Times New Roman" w:eastAsia="宋体" w:cs="Times New Roman"/>
          <w:lang w:val="en-US" w:eastAsia="zh-CN"/>
        </w:rPr>
        <w:t xml:space="preserve">1.2 </w:t>
      </w:r>
      <w:r>
        <w:rPr>
          <w:rFonts w:hint="default" w:ascii="Times New Roman" w:hAnsi="Times New Roman" w:eastAsia="宋体" w:cs="Times New Roman"/>
        </w:rPr>
        <w:t>申请人的资格要求</w:t>
      </w:r>
      <w:bookmarkEnd w:id="12"/>
      <w:bookmarkEnd w:id="13"/>
      <w:bookmarkEnd w:id="14"/>
      <w:bookmarkEnd w:id="15"/>
      <w:bookmarkEnd w:id="16"/>
      <w:bookmarkEnd w:id="17"/>
      <w:bookmarkEnd w:id="18"/>
    </w:p>
    <w:p>
      <w:pPr>
        <w:spacing w:line="460" w:lineRule="exact"/>
        <w:ind w:firstLine="480" w:firstLineChars="200"/>
        <w:rPr>
          <w:rFonts w:hint="eastAsia" w:ascii="Times New Roman" w:hAnsi="Times New Roman" w:eastAsia="宋体" w:cs="Times New Roman"/>
          <w:sz w:val="24"/>
          <w:szCs w:val="24"/>
          <w:lang w:eastAsia="zh-CN"/>
        </w:rPr>
      </w:pPr>
      <w:bookmarkStart w:id="19" w:name="_Toc29731_WPSOffice_Level3"/>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满足《中华人民共和国政府采购法》第二十二条规定</w:t>
      </w:r>
      <w:bookmarkEnd w:id="19"/>
      <w:r>
        <w:rPr>
          <w:rFonts w:hint="eastAsia" w:ascii="Times New Roman" w:hAnsi="Times New Roman" w:eastAsia="宋体" w:cs="Times New Roman"/>
          <w:sz w:val="24"/>
          <w:szCs w:val="24"/>
          <w:lang w:eastAsia="zh-CN"/>
        </w:rPr>
        <w:t>；</w:t>
      </w:r>
    </w:p>
    <w:p>
      <w:pPr>
        <w:spacing w:line="460" w:lineRule="exact"/>
        <w:ind w:firstLine="480" w:firstLineChars="200"/>
        <w:rPr>
          <w:rFonts w:hint="default" w:ascii="Times New Roman" w:hAnsi="Times New Roman" w:eastAsia="宋体" w:cs="Times New Roman"/>
          <w:sz w:val="24"/>
          <w:szCs w:val="24"/>
        </w:rPr>
      </w:pPr>
      <w:bookmarkStart w:id="20" w:name="_Toc31955_WPSOffice_Level3"/>
      <w:bookmarkStart w:id="21" w:name="_Toc28359081"/>
      <w:bookmarkStart w:id="22" w:name="_Toc28359004"/>
      <w:r>
        <w:rPr>
          <w:rFonts w:hint="default" w:ascii="Times New Roman" w:hAnsi="Times New Roman" w:eastAsia="宋体" w:cs="Times New Roman"/>
          <w:sz w:val="24"/>
          <w:szCs w:val="24"/>
        </w:rPr>
        <w:t>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落实政府采购政策需满足的资格要求：</w:t>
      </w:r>
      <w:bookmarkEnd w:id="20"/>
    </w:p>
    <w:p>
      <w:pPr>
        <w:tabs>
          <w:tab w:val="left" w:pos="426"/>
        </w:tabs>
        <w:adjustRightInd w:val="0"/>
        <w:snapToGrid w:val="0"/>
        <w:spacing w:line="500" w:lineRule="exact"/>
        <w:ind w:firstLine="480" w:firstLineChars="200"/>
        <w:rPr>
          <w:rFonts w:hint="default" w:ascii="Times New Roman" w:hAnsi="Times New Roman" w:eastAsia="宋体" w:cs="Times New Roman"/>
          <w:sz w:val="24"/>
          <w:szCs w:val="24"/>
        </w:rPr>
      </w:pPr>
      <w:bookmarkStart w:id="23" w:name="_Toc20584_WPSOffice_Level3"/>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本次采购将按照《中华人民共和国政府采购法》第九条的规定，在同等条件下，优先扶持不发达地区和少数民族地区的企业和中小企业；</w:t>
      </w:r>
    </w:p>
    <w:p>
      <w:pPr>
        <w:tabs>
          <w:tab w:val="left" w:pos="426"/>
        </w:tabs>
        <w:adjustRightInd w:val="0"/>
        <w:snapToGrid w:val="0"/>
        <w:spacing w:line="50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《政府采购促进中小企业发展暂行办法》《财政部司法部关于政府采购支持监狱企业发展有关问题的通知》《关于促进残疾人就业政府采购政策的通知》。</w:t>
      </w:r>
    </w:p>
    <w:p>
      <w:pPr>
        <w:tabs>
          <w:tab w:val="left" w:pos="426"/>
        </w:tabs>
        <w:adjustRightInd w:val="0"/>
        <w:snapToGrid w:val="0"/>
        <w:spacing w:line="50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3</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本项目的特定资格要求：</w:t>
      </w:r>
      <w:bookmarkEnd w:id="23"/>
    </w:p>
    <w:p>
      <w:pPr>
        <w:spacing w:line="46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rPr>
        <w:t>（1）具备有效的营业执照、企业税务登记证、组织机构代码证或三证合一的营业执照。</w:t>
      </w:r>
    </w:p>
    <w:p>
      <w:pPr>
        <w:spacing w:line="460" w:lineRule="exact"/>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具有良好的商业信誉和健全的财务会计制度，有依法缴纳税收和社会保险的良好记录；近三年内在经营活动中没有重大违法记录或出现重大质量问题；没有处于被责令停业，投标资格被取消，财产被接管、冻结、破产状态；没有被纳入违约失信企业名单、列为失信被执行人。</w:t>
      </w:r>
    </w:p>
    <w:p>
      <w:pPr>
        <w:spacing w:line="460" w:lineRule="exact"/>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lang w:eastAsia="zh-CN"/>
        </w:rPr>
        <w:t>）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6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4、供应商提供的资料中被查实有虚假证明材料的，采购人有权取消其</w:t>
      </w:r>
      <w:r>
        <w:rPr>
          <w:rFonts w:hint="eastAsia" w:ascii="Times New Roman" w:hAnsi="Times New Roman" w:eastAsia="宋体" w:cs="Times New Roman"/>
          <w:sz w:val="24"/>
          <w:szCs w:val="24"/>
          <w:lang w:val="en-US" w:eastAsia="zh-CN"/>
        </w:rPr>
        <w:t>竞争性谈判</w:t>
      </w:r>
      <w:r>
        <w:rPr>
          <w:rFonts w:hint="eastAsia" w:ascii="Times New Roman" w:hAnsi="Times New Roman" w:eastAsia="宋体" w:cs="Times New Roman"/>
          <w:sz w:val="24"/>
          <w:szCs w:val="24"/>
          <w:lang w:eastAsia="zh-CN"/>
        </w:rPr>
        <w:t>资格；</w:t>
      </w:r>
      <w:r>
        <w:rPr>
          <w:rFonts w:hint="eastAsia" w:ascii="Times New Roman" w:hAnsi="Times New Roman" w:eastAsia="宋体" w:cs="Times New Roman"/>
          <w:sz w:val="24"/>
          <w:szCs w:val="24"/>
          <w:lang w:val="en-US" w:eastAsia="zh-CN"/>
        </w:rPr>
        <w:t>谈判</w:t>
      </w:r>
      <w:r>
        <w:rPr>
          <w:rFonts w:hint="eastAsia" w:ascii="Times New Roman" w:hAnsi="Times New Roman" w:eastAsia="宋体" w:cs="Times New Roman"/>
          <w:sz w:val="24"/>
          <w:szCs w:val="24"/>
          <w:lang w:eastAsia="zh-CN"/>
        </w:rPr>
        <w:t>后中选的，其中选资格无效。</w:t>
      </w:r>
    </w:p>
    <w:p>
      <w:pPr>
        <w:pStyle w:val="5"/>
        <w:bidi w:val="0"/>
        <w:rPr>
          <w:rFonts w:hint="default" w:ascii="Times New Roman" w:hAnsi="Times New Roman" w:eastAsia="宋体" w:cs="Times New Roman"/>
        </w:rPr>
      </w:pPr>
      <w:bookmarkStart w:id="24" w:name="_Toc35393623"/>
      <w:bookmarkStart w:id="25" w:name="_Toc35393792"/>
      <w:bookmarkStart w:id="26" w:name="_Toc44621997"/>
      <w:bookmarkStart w:id="27" w:name="_Toc31282"/>
      <w:bookmarkStart w:id="28" w:name="_Toc20584_WPSOffice_Level2"/>
      <w:r>
        <w:rPr>
          <w:rFonts w:hint="default" w:ascii="Times New Roman" w:hAnsi="Times New Roman" w:eastAsia="宋体" w:cs="Times New Roman"/>
          <w:lang w:val="en-US" w:eastAsia="zh-CN"/>
        </w:rPr>
        <w:t xml:space="preserve">1.3 </w:t>
      </w:r>
      <w:r>
        <w:rPr>
          <w:rFonts w:hint="default" w:ascii="Times New Roman" w:hAnsi="Times New Roman" w:eastAsia="宋体" w:cs="Times New Roman"/>
        </w:rPr>
        <w:t>获取采购文件</w:t>
      </w:r>
      <w:bookmarkEnd w:id="21"/>
      <w:bookmarkEnd w:id="22"/>
      <w:bookmarkEnd w:id="24"/>
      <w:bookmarkEnd w:id="25"/>
      <w:bookmarkEnd w:id="26"/>
      <w:bookmarkEnd w:id="27"/>
      <w:bookmarkEnd w:id="28"/>
    </w:p>
    <w:p>
      <w:pPr>
        <w:spacing w:line="460" w:lineRule="exact"/>
        <w:ind w:firstLine="480" w:firstLineChars="200"/>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时间：</w:t>
      </w:r>
      <w:r>
        <w:rPr>
          <w:rFonts w:hint="default" w:ascii="Times New Roman" w:hAnsi="Times New Roman" w:eastAsia="宋体" w:cs="Times New Roman"/>
          <w:sz w:val="24"/>
          <w:szCs w:val="24"/>
          <w:lang w:eastAsia="zh-CN"/>
        </w:rPr>
        <w:t>202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年</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月</w:t>
      </w:r>
      <w:r>
        <w:rPr>
          <w:rFonts w:hint="eastAsia" w:ascii="Times New Roman" w:hAnsi="Times New Roman" w:eastAsia="宋体" w:cs="Times New Roman"/>
          <w:sz w:val="24"/>
          <w:szCs w:val="24"/>
          <w:lang w:val="en-US" w:eastAsia="zh-CN"/>
        </w:rPr>
        <w:t>17</w:t>
      </w:r>
      <w:r>
        <w:rPr>
          <w:rFonts w:hint="default" w:ascii="Times New Roman" w:hAnsi="Times New Roman" w:eastAsia="宋体" w:cs="Times New Roman"/>
          <w:sz w:val="24"/>
          <w:szCs w:val="24"/>
          <w:lang w:eastAsia="zh-CN"/>
        </w:rPr>
        <w:t>至202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年</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月</w:t>
      </w:r>
      <w:r>
        <w:rPr>
          <w:rFonts w:hint="eastAsia" w:ascii="Times New Roman" w:hAnsi="Times New Roman" w:eastAsia="宋体" w:cs="Times New Roman"/>
          <w:sz w:val="24"/>
          <w:szCs w:val="24"/>
          <w:lang w:val="en-US" w:eastAsia="zh-CN"/>
        </w:rPr>
        <w:t>22</w:t>
      </w:r>
      <w:r>
        <w:rPr>
          <w:rFonts w:hint="default" w:ascii="Times New Roman" w:hAnsi="Times New Roman" w:eastAsia="宋体" w:cs="Times New Roman"/>
          <w:sz w:val="24"/>
          <w:szCs w:val="24"/>
          <w:lang w:eastAsia="zh-CN"/>
        </w:rPr>
        <w:t>日</w:t>
      </w:r>
    </w:p>
    <w:p>
      <w:pPr>
        <w:spacing w:line="46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地点：</w:t>
      </w:r>
      <w:r>
        <w:rPr>
          <w:rFonts w:hint="default" w:ascii="Times New Roman" w:hAnsi="Times New Roman" w:eastAsia="宋体" w:cs="Times New Roman"/>
          <w:sz w:val="24"/>
          <w:szCs w:val="24"/>
          <w:lang w:val="zh-CN"/>
        </w:rPr>
        <w:t>楚雄医药高等专科学校</w:t>
      </w:r>
      <w:r>
        <w:rPr>
          <w:rFonts w:hint="default" w:ascii="Times New Roman" w:hAnsi="Times New Roman" w:eastAsia="宋体" w:cs="Times New Roman"/>
          <w:sz w:val="24"/>
          <w:szCs w:val="24"/>
        </w:rPr>
        <w:t>保卫处招标信息</w:t>
      </w:r>
      <w:r>
        <w:rPr>
          <w:rFonts w:hint="default" w:ascii="Times New Roman" w:hAnsi="Times New Roman" w:eastAsia="宋体" w:cs="Times New Roman"/>
          <w:sz w:val="24"/>
          <w:szCs w:val="24"/>
          <w:lang w:val="zh-CN"/>
        </w:rPr>
        <w:t>栏下载</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zh-CN"/>
        </w:rPr>
        <w:t>网址</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"http://hqc.cxmtc.net/default.html）"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http://www.cxmtc.net/list/cnhqcPc/38/1055/auto/12/0.html）</w:t>
      </w:r>
      <w:r>
        <w:rPr>
          <w:rFonts w:hint="default" w:ascii="Times New Roman" w:hAnsi="Times New Roman" w:eastAsia="宋体" w:cs="Times New Roman"/>
          <w:sz w:val="24"/>
          <w:szCs w:val="24"/>
        </w:rPr>
        <w:fldChar w:fldCharType="end"/>
      </w:r>
    </w:p>
    <w:p>
      <w:pPr>
        <w:spacing w:line="46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方式：网上自行下载</w:t>
      </w:r>
    </w:p>
    <w:p>
      <w:pPr>
        <w:pStyle w:val="5"/>
        <w:bidi w:val="0"/>
        <w:rPr>
          <w:rFonts w:hint="default" w:ascii="Times New Roman" w:hAnsi="Times New Roman" w:eastAsia="宋体" w:cs="Times New Roman"/>
        </w:rPr>
      </w:pPr>
      <w:bookmarkStart w:id="29" w:name="_Toc4090"/>
      <w:bookmarkStart w:id="30" w:name="_Toc44621998"/>
      <w:bookmarkStart w:id="31" w:name="_Toc26790_WPSOffice_Level2"/>
      <w:bookmarkStart w:id="32" w:name="_Toc35393793"/>
      <w:bookmarkStart w:id="33" w:name="_Toc35393624"/>
      <w:r>
        <w:rPr>
          <w:rFonts w:hint="default" w:ascii="Times New Roman" w:hAnsi="Times New Roman" w:eastAsia="宋体" w:cs="Times New Roman"/>
          <w:lang w:val="en-US" w:eastAsia="zh-CN"/>
        </w:rPr>
        <w:t xml:space="preserve">1.4 </w:t>
      </w:r>
      <w:r>
        <w:rPr>
          <w:rFonts w:hint="default" w:ascii="Times New Roman" w:hAnsi="Times New Roman" w:eastAsia="宋体" w:cs="Times New Roman"/>
        </w:rPr>
        <w:t>响应文件提交</w:t>
      </w:r>
      <w:bookmarkEnd w:id="29"/>
    </w:p>
    <w:p>
      <w:pPr>
        <w:spacing w:line="460" w:lineRule="exact"/>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截止时间</w:t>
      </w:r>
      <w:bookmarkEnd w:id="30"/>
      <w:bookmarkEnd w:id="31"/>
      <w:bookmarkEnd w:id="32"/>
      <w:bookmarkEnd w:id="33"/>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202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年</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月</w:t>
      </w:r>
      <w:r>
        <w:rPr>
          <w:rFonts w:hint="eastAsia" w:ascii="Times New Roman" w:hAnsi="Times New Roman" w:eastAsia="宋体" w:cs="Times New Roman"/>
          <w:sz w:val="24"/>
          <w:szCs w:val="24"/>
          <w:lang w:val="en-US" w:eastAsia="zh-CN"/>
        </w:rPr>
        <w:t>23</w:t>
      </w:r>
      <w:r>
        <w:rPr>
          <w:rFonts w:hint="default" w:ascii="Times New Roman" w:hAnsi="Times New Roman" w:eastAsia="宋体" w:cs="Times New Roman"/>
          <w:sz w:val="24"/>
          <w:szCs w:val="24"/>
          <w:lang w:eastAsia="zh-CN"/>
        </w:rPr>
        <w:t>日</w:t>
      </w:r>
      <w:r>
        <w:rPr>
          <w:rFonts w:hint="eastAsia" w:ascii="Times New Roman" w:hAnsi="Times New Roman" w:eastAsia="宋体" w:cs="Times New Roman"/>
          <w:sz w:val="24"/>
          <w:szCs w:val="24"/>
          <w:lang w:val="en-US" w:eastAsia="zh-CN"/>
        </w:rPr>
        <w:t>09</w:t>
      </w:r>
      <w:r>
        <w:rPr>
          <w:rFonts w:hint="default" w:ascii="Times New Roman" w:hAnsi="Times New Roman" w:eastAsia="宋体" w:cs="Times New Roman"/>
          <w:sz w:val="24"/>
          <w:szCs w:val="24"/>
        </w:rPr>
        <w:t>点00分至</w:t>
      </w:r>
      <w:r>
        <w:rPr>
          <w:rFonts w:hint="eastAsia" w:ascii="Times New Roman" w:hAnsi="Times New Roman" w:eastAsia="宋体" w:cs="Times New Roman"/>
          <w:sz w:val="24"/>
          <w:szCs w:val="24"/>
          <w:lang w:val="en-US" w:eastAsia="zh-CN"/>
        </w:rPr>
        <w:t>09</w:t>
      </w:r>
      <w:r>
        <w:rPr>
          <w:rFonts w:hint="default" w:ascii="Times New Roman" w:hAnsi="Times New Roman" w:eastAsia="宋体" w:cs="Times New Roman"/>
          <w:sz w:val="24"/>
          <w:szCs w:val="24"/>
        </w:rPr>
        <w:t>点30分（北京时间）</w:t>
      </w:r>
    </w:p>
    <w:p>
      <w:pPr>
        <w:spacing w:line="46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地点：楚雄医药高等专科学校远志楼8楼保卫处会议室</w:t>
      </w:r>
    </w:p>
    <w:p>
      <w:pPr>
        <w:pStyle w:val="5"/>
        <w:bidi w:val="0"/>
        <w:rPr>
          <w:rFonts w:hint="default" w:ascii="Times New Roman" w:hAnsi="Times New Roman" w:eastAsia="宋体" w:cs="Times New Roman"/>
          <w:lang w:val="en-US" w:eastAsia="zh-CN"/>
        </w:rPr>
      </w:pPr>
      <w:bookmarkStart w:id="34" w:name="_Toc10394"/>
      <w:r>
        <w:rPr>
          <w:rFonts w:hint="default" w:ascii="Times New Roman" w:hAnsi="Times New Roman" w:eastAsia="宋体" w:cs="Times New Roman"/>
          <w:lang w:val="en-US" w:eastAsia="zh-CN"/>
        </w:rPr>
        <w:t>1.5 开启</w:t>
      </w:r>
      <w:bookmarkEnd w:id="34"/>
    </w:p>
    <w:p>
      <w:pPr>
        <w:spacing w:line="46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highlight w:val="none"/>
        </w:rPr>
        <w:t xml:space="preserve"> </w:t>
      </w:r>
      <w:r>
        <w:rPr>
          <w:rFonts w:hint="eastAsia"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rPr>
        <w:t>时间：</w:t>
      </w:r>
      <w:r>
        <w:rPr>
          <w:rFonts w:hint="default" w:ascii="Times New Roman" w:hAnsi="Times New Roman" w:eastAsia="宋体" w:cs="Times New Roman"/>
          <w:sz w:val="24"/>
          <w:szCs w:val="24"/>
          <w:lang w:eastAsia="zh-CN"/>
        </w:rPr>
        <w:t>202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年</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月</w:t>
      </w:r>
      <w:r>
        <w:rPr>
          <w:rFonts w:hint="eastAsia" w:ascii="Times New Roman" w:hAnsi="Times New Roman" w:eastAsia="宋体" w:cs="Times New Roman"/>
          <w:sz w:val="24"/>
          <w:szCs w:val="24"/>
          <w:lang w:val="en-US" w:eastAsia="zh-CN"/>
        </w:rPr>
        <w:t>23</w:t>
      </w:r>
      <w:r>
        <w:rPr>
          <w:rFonts w:hint="default" w:ascii="Times New Roman" w:hAnsi="Times New Roman" w:eastAsia="宋体" w:cs="Times New Roman"/>
          <w:sz w:val="24"/>
          <w:szCs w:val="24"/>
          <w:lang w:eastAsia="zh-CN"/>
        </w:rPr>
        <w:t>日</w:t>
      </w:r>
      <w:r>
        <w:rPr>
          <w:rFonts w:hint="eastAsia" w:ascii="Times New Roman" w:hAnsi="Times New Roman" w:eastAsia="宋体" w:cs="Times New Roman"/>
          <w:sz w:val="24"/>
          <w:szCs w:val="24"/>
          <w:lang w:val="en-US" w:eastAsia="zh-CN"/>
        </w:rPr>
        <w:t>09</w:t>
      </w:r>
      <w:r>
        <w:rPr>
          <w:rFonts w:hint="default" w:ascii="Times New Roman" w:hAnsi="Times New Roman" w:eastAsia="宋体" w:cs="Times New Roman"/>
          <w:sz w:val="24"/>
          <w:szCs w:val="24"/>
        </w:rPr>
        <w:t>点</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0分</w:t>
      </w:r>
      <w:r>
        <w:rPr>
          <w:rFonts w:hint="default" w:ascii="Times New Roman" w:hAnsi="Times New Roman" w:eastAsia="宋体" w:cs="Times New Roman"/>
          <w:sz w:val="24"/>
          <w:szCs w:val="24"/>
          <w:highlight w:val="none"/>
        </w:rPr>
        <w:t>（北京时间）</w:t>
      </w:r>
    </w:p>
    <w:p>
      <w:pPr>
        <w:spacing w:line="460" w:lineRule="exact"/>
        <w:ind w:firstLine="560"/>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地点：</w:t>
      </w:r>
      <w:bookmarkStart w:id="35" w:name="_Toc4901_WPSOffice_Level2"/>
      <w:r>
        <w:rPr>
          <w:rFonts w:hint="default" w:ascii="Times New Roman" w:hAnsi="Times New Roman" w:eastAsia="宋体" w:cs="Times New Roman"/>
          <w:sz w:val="24"/>
          <w:szCs w:val="24"/>
          <w:highlight w:val="none"/>
        </w:rPr>
        <w:t>楚雄医药高等专科学校远志楼8楼保卫处会议室</w:t>
      </w:r>
    </w:p>
    <w:bookmarkEnd w:id="35"/>
    <w:p>
      <w:pPr>
        <w:pStyle w:val="5"/>
        <w:bidi w:val="0"/>
        <w:rPr>
          <w:rFonts w:hint="default" w:ascii="Times New Roman" w:hAnsi="Times New Roman" w:eastAsia="宋体" w:cs="Times New Roman"/>
          <w:szCs w:val="24"/>
        </w:rPr>
      </w:pPr>
      <w:bookmarkStart w:id="36" w:name="_Toc9797"/>
      <w:bookmarkStart w:id="37" w:name="_Toc44622000"/>
      <w:bookmarkStart w:id="38" w:name="_Toc35393795"/>
      <w:bookmarkStart w:id="39" w:name="_Toc35393626"/>
      <w:bookmarkStart w:id="40" w:name="_Toc30065_WPSOffice_Level2"/>
      <w:r>
        <w:rPr>
          <w:rFonts w:hint="default" w:ascii="Times New Roman" w:hAnsi="Times New Roman" w:eastAsia="宋体" w:cs="Times New Roman"/>
          <w:lang w:val="en-US" w:eastAsia="zh-CN"/>
        </w:rPr>
        <w:t xml:space="preserve">1.6 </w:t>
      </w:r>
      <w:r>
        <w:rPr>
          <w:rFonts w:hint="default" w:ascii="Times New Roman" w:hAnsi="Times New Roman" w:eastAsia="宋体" w:cs="Times New Roman"/>
        </w:rPr>
        <w:t>其他补充事宜</w:t>
      </w:r>
      <w:bookmarkEnd w:id="36"/>
      <w:bookmarkEnd w:id="37"/>
      <w:bookmarkEnd w:id="38"/>
      <w:bookmarkEnd w:id="39"/>
      <w:bookmarkEnd w:id="40"/>
    </w:p>
    <w:p>
      <w:pPr>
        <w:spacing w:line="46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1、</w:t>
      </w:r>
      <w:r>
        <w:rPr>
          <w:rFonts w:hint="default" w:ascii="Times New Roman" w:hAnsi="Times New Roman" w:eastAsia="宋体" w:cs="Times New Roman"/>
          <w:sz w:val="24"/>
          <w:szCs w:val="24"/>
        </w:rPr>
        <w:t>本项目采用纸质评标，在规定的响应文件递交的时间现场报名并递交响应文件。</w:t>
      </w:r>
    </w:p>
    <w:p>
      <w:pPr>
        <w:spacing w:line="46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递交响应文件截止时间到，仍未按谈判文件的要求到达，视为自动放弃投标。</w:t>
      </w:r>
    </w:p>
    <w:p>
      <w:pPr>
        <w:spacing w:line="460" w:lineRule="exact"/>
        <w:ind w:firstLine="480" w:firstLineChars="200"/>
        <w:rPr>
          <w:rFonts w:hint="default" w:ascii="Times New Roman" w:hAnsi="Times New Roman" w:eastAsia="宋体" w:cs="Times New Roman"/>
          <w:color w:val="000000"/>
          <w:sz w:val="24"/>
          <w:szCs w:val="24"/>
          <w:lang w:val="en-US" w:eastAsia="zh-CN" w:bidi="ar-SA"/>
        </w:rPr>
      </w:pPr>
      <w:bookmarkStart w:id="41" w:name="_Toc28359085"/>
      <w:bookmarkStart w:id="42" w:name="_Toc28359008"/>
      <w:bookmarkStart w:id="43" w:name="_Toc44622001"/>
      <w:bookmarkStart w:id="44" w:name="_Toc14054_WPSOffice_Level2"/>
      <w:bookmarkStart w:id="45" w:name="_Toc35393627"/>
      <w:bookmarkStart w:id="46" w:name="_Toc35393796"/>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kern w:val="0"/>
          <w:sz w:val="24"/>
          <w:szCs w:val="24"/>
        </w:rPr>
        <w:t>法人代表或授权代表须准时到会，出示身份证原件并签名以示出席；否则，其谈判将被拒绝。</w:t>
      </w:r>
    </w:p>
    <w:p>
      <w:pPr>
        <w:pStyle w:val="5"/>
        <w:bidi w:val="0"/>
        <w:rPr>
          <w:rFonts w:hint="default" w:ascii="Times New Roman" w:hAnsi="Times New Roman" w:eastAsia="宋体" w:cs="Times New Roman"/>
        </w:rPr>
      </w:pPr>
      <w:bookmarkStart w:id="47" w:name="_Toc5710"/>
      <w:r>
        <w:rPr>
          <w:rFonts w:hint="default" w:ascii="Times New Roman" w:hAnsi="Times New Roman" w:eastAsia="宋体" w:cs="Times New Roman"/>
          <w:lang w:val="en-US" w:eastAsia="zh-CN"/>
        </w:rPr>
        <w:t xml:space="preserve">1.7 </w:t>
      </w:r>
      <w:r>
        <w:rPr>
          <w:rFonts w:hint="default" w:ascii="Times New Roman" w:hAnsi="Times New Roman" w:eastAsia="宋体" w:cs="Times New Roman"/>
        </w:rPr>
        <w:t>谈判保证金</w:t>
      </w:r>
      <w:bookmarkEnd w:id="47"/>
    </w:p>
    <w:p>
      <w:pPr>
        <w:spacing w:line="460" w:lineRule="exact"/>
        <w:ind w:firstLine="480" w:firstLineChars="200"/>
        <w:rPr>
          <w:rFonts w:hint="default" w:ascii="Times New Roman" w:hAnsi="Times New Roman" w:eastAsia="宋体" w:cs="Times New Roman"/>
          <w:color w:val="000000"/>
          <w:kern w:val="0"/>
          <w:sz w:val="24"/>
          <w:szCs w:val="24"/>
        </w:rPr>
      </w:pPr>
      <w:r>
        <w:rPr>
          <w:rFonts w:hint="default" w:ascii="Times New Roman" w:hAnsi="Times New Roman" w:eastAsia="宋体" w:cs="Times New Roman"/>
          <w:sz w:val="24"/>
          <w:szCs w:val="24"/>
        </w:rPr>
        <w:t>保证金的形式：现金，保证金的金额</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color w:val="000000"/>
          <w:kern w:val="0"/>
          <w:sz w:val="24"/>
          <w:szCs w:val="24"/>
          <w:lang w:val="en-US" w:eastAsia="zh-CN"/>
        </w:rPr>
        <w:t>40</w:t>
      </w:r>
      <w:r>
        <w:rPr>
          <w:rFonts w:hint="default" w:ascii="Times New Roman" w:hAnsi="Times New Roman" w:eastAsia="宋体" w:cs="Times New Roman"/>
          <w:color w:val="000000"/>
          <w:kern w:val="0"/>
          <w:sz w:val="24"/>
          <w:szCs w:val="24"/>
        </w:rPr>
        <w:t>00.00（大写：人民币</w:t>
      </w:r>
      <w:r>
        <w:rPr>
          <w:rFonts w:hint="eastAsia" w:ascii="Times New Roman" w:hAnsi="Times New Roman" w:eastAsia="宋体" w:cs="Times New Roman"/>
          <w:color w:val="000000"/>
          <w:kern w:val="0"/>
          <w:sz w:val="24"/>
          <w:szCs w:val="24"/>
          <w:lang w:val="en-US" w:eastAsia="zh-CN"/>
        </w:rPr>
        <w:t>肆仟</w:t>
      </w:r>
      <w:r>
        <w:rPr>
          <w:rFonts w:hint="default" w:ascii="Times New Roman" w:hAnsi="Times New Roman" w:eastAsia="宋体" w:cs="Times New Roman"/>
          <w:color w:val="000000"/>
          <w:kern w:val="0"/>
          <w:sz w:val="24"/>
          <w:szCs w:val="24"/>
        </w:rPr>
        <w:t>元整）。请自备信封，当场清点密封后递交。未成交供应商的保证金在评标结束后当场退还，成交供应商的保证金在合同签订后无息退还。未提交保证金不得参加本项目谈判。</w:t>
      </w:r>
    </w:p>
    <w:p>
      <w:pPr>
        <w:pStyle w:val="5"/>
        <w:bidi w:val="0"/>
        <w:rPr>
          <w:rFonts w:hint="default" w:ascii="Times New Roman" w:hAnsi="Times New Roman" w:eastAsia="宋体" w:cs="Times New Roman"/>
          <w:lang w:eastAsia="zh-CN"/>
        </w:rPr>
      </w:pPr>
      <w:bookmarkStart w:id="48" w:name="_Toc3073"/>
      <w:r>
        <w:rPr>
          <w:rFonts w:hint="default" w:ascii="Times New Roman" w:hAnsi="Times New Roman" w:eastAsia="宋体" w:cs="Times New Roman"/>
          <w:lang w:val="en-US" w:eastAsia="zh-CN"/>
        </w:rPr>
        <w:t xml:space="preserve">1.8 </w:t>
      </w:r>
      <w:bookmarkEnd w:id="41"/>
      <w:bookmarkEnd w:id="42"/>
      <w:bookmarkEnd w:id="43"/>
      <w:bookmarkEnd w:id="44"/>
      <w:bookmarkEnd w:id="45"/>
      <w:bookmarkEnd w:id="46"/>
      <w:r>
        <w:rPr>
          <w:rFonts w:hint="eastAsia" w:ascii="Times New Roman" w:hAnsi="Times New Roman" w:eastAsia="宋体" w:cs="Times New Roman"/>
        </w:rPr>
        <w:t>疫情防控要求</w:t>
      </w:r>
      <w:bookmarkEnd w:id="48"/>
    </w:p>
    <w:p>
      <w:pPr>
        <w:spacing w:line="460" w:lineRule="exact"/>
        <w:ind w:firstLine="480" w:firstLineChars="200"/>
        <w:rPr>
          <w:rFonts w:ascii="Times New Roman" w:hAnsi="Times New Roman" w:eastAsia="宋体" w:cs="Times New Roman"/>
          <w:kern w:val="0"/>
          <w:sz w:val="24"/>
        </w:rPr>
      </w:pPr>
      <w:r>
        <w:rPr>
          <w:rFonts w:hint="eastAsia" w:ascii="Times New Roman" w:hAnsi="Times New Roman" w:eastAsia="宋体" w:cs="Times New Roman"/>
          <w:color w:val="000000"/>
          <w:kern w:val="0"/>
          <w:sz w:val="24"/>
        </w:rPr>
        <w:t>响应供应商入校参与磋商时，应严格按照楚雄市及学校新冠疫情防控要求应主动出示健康码绿码、行程卡绿码、已接种新冠疫苗、体温低于37.3℃，并按要求佩戴口罩，</w:t>
      </w:r>
      <w:r>
        <w:rPr>
          <w:rFonts w:hint="eastAsia" w:ascii="Times New Roman" w:hAnsi="Times New Roman" w:eastAsia="宋体" w:cs="Times New Roman"/>
          <w:kern w:val="0"/>
          <w:sz w:val="24"/>
        </w:rPr>
        <w:t>如行程码显示14天内有州外旅居史的还需出具48小时以内的核酸检测阴性报告。行程卡带*号和来自中、高风险地区的供应商不能参加本项目投标。响应供应商授权代理人现场递交响应文件时，一家供应商仅限1人。</w:t>
      </w:r>
    </w:p>
    <w:p>
      <w:pPr>
        <w:spacing w:line="460" w:lineRule="exact"/>
        <w:ind w:firstLine="482" w:firstLineChars="200"/>
        <w:rPr>
          <w:rFonts w:hint="default" w:ascii="Times New Roman" w:hAnsi="Times New Roman" w:eastAsia="宋体" w:cs="Times New Roman"/>
          <w:sz w:val="24"/>
          <w:szCs w:val="24"/>
        </w:rPr>
      </w:pPr>
      <w:r>
        <w:rPr>
          <w:rFonts w:hint="eastAsia" w:ascii="Times New Roman" w:hAnsi="Times New Roman" w:eastAsia="宋体" w:cs="Times New Roman"/>
          <w:b/>
          <w:bCs/>
          <w:color w:val="000000"/>
          <w:kern w:val="0"/>
          <w:sz w:val="24"/>
          <w:szCs w:val="24"/>
          <w:lang w:val="en-US" w:eastAsia="zh-CN" w:bidi="ar-SA"/>
        </w:rPr>
        <w:t>注意：请各响应供应商关注楚雄州、市疫情防控要求，同时考虑到学校的特殊性，是否能够顺利参加本项目磋商。</w:t>
      </w:r>
    </w:p>
    <w:p>
      <w:pPr>
        <w:pStyle w:val="5"/>
        <w:bidi w:val="0"/>
        <w:rPr>
          <w:rFonts w:hint="default" w:ascii="Times New Roman" w:hAnsi="Times New Roman" w:eastAsia="宋体" w:cs="Times New Roman"/>
          <w:b/>
          <w:bCs w:val="0"/>
          <w:szCs w:val="24"/>
        </w:rPr>
      </w:pPr>
      <w:bookmarkStart w:id="49" w:name="_Toc5809"/>
      <w:r>
        <w:rPr>
          <w:rFonts w:hint="default" w:ascii="Times New Roman" w:hAnsi="Times New Roman" w:eastAsia="宋体" w:cs="Times New Roman"/>
          <w:b/>
          <w:bCs w:val="0"/>
          <w:lang w:val="en-US" w:eastAsia="zh-CN"/>
        </w:rPr>
        <w:t xml:space="preserve">1.9 </w:t>
      </w:r>
      <w:r>
        <w:rPr>
          <w:rFonts w:hint="default" w:ascii="Times New Roman" w:hAnsi="Times New Roman" w:eastAsia="宋体" w:cs="Times New Roman"/>
          <w:b/>
          <w:bCs w:val="0"/>
          <w:lang w:eastAsia="zh-CN"/>
        </w:rPr>
        <w:t>联系方式</w:t>
      </w:r>
      <w:bookmarkEnd w:id="49"/>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名 称：楚雄医药高等专科学校</w:t>
      </w:r>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地 址：楚雄市东瓜镇</w:t>
      </w:r>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联系方式：15308785818</w:t>
      </w:r>
    </w:p>
    <w:p>
      <w:pPr>
        <w:spacing w:line="460" w:lineRule="exact"/>
        <w:ind w:firstLine="480" w:firstLineChars="200"/>
        <w:rPr>
          <w:rFonts w:hint="default" w:eastAsia="宋体"/>
          <w:lang w:val="en-US" w:eastAsia="zh-CN"/>
        </w:rPr>
      </w:pPr>
      <w:r>
        <w:rPr>
          <w:rFonts w:hint="default" w:ascii="Times New Roman" w:hAnsi="Times New Roman" w:eastAsia="宋体" w:cs="Times New Roman"/>
          <w:sz w:val="24"/>
          <w:szCs w:val="24"/>
        </w:rPr>
        <w:t>联系人：</w:t>
      </w:r>
      <w:r>
        <w:rPr>
          <w:rFonts w:hint="eastAsia" w:ascii="Times New Roman" w:hAnsi="Times New Roman" w:eastAsia="宋体" w:cs="Times New Roman"/>
          <w:sz w:val="24"/>
          <w:szCs w:val="24"/>
          <w:lang w:val="en-US" w:eastAsia="zh-CN"/>
        </w:rPr>
        <w:t>胡老师</w:t>
      </w:r>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联系方式：</w:t>
      </w:r>
      <w:bookmarkStart w:id="50" w:name="_Toc28359009"/>
      <w:bookmarkStart w:id="51" w:name="_Toc28359086"/>
      <w:r>
        <w:rPr>
          <w:rFonts w:hint="default" w:ascii="Times New Roman" w:hAnsi="Times New Roman" w:eastAsia="宋体" w:cs="Times New Roman"/>
          <w:sz w:val="24"/>
          <w:szCs w:val="24"/>
        </w:rPr>
        <w:t>0878-3875679</w:t>
      </w:r>
    </w:p>
    <w:bookmarkEnd w:id="50"/>
    <w:bookmarkEnd w:id="51"/>
    <w:p>
      <w:pPr>
        <w:spacing w:line="4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联系人：</w:t>
      </w:r>
      <w:r>
        <w:rPr>
          <w:rFonts w:hint="eastAsia" w:ascii="Times New Roman" w:hAnsi="Times New Roman" w:eastAsia="宋体" w:cs="Times New Roman"/>
          <w:sz w:val="24"/>
          <w:szCs w:val="24"/>
          <w:highlight w:val="none"/>
          <w:lang w:eastAsia="zh-CN"/>
        </w:rPr>
        <w:t>杨</w:t>
      </w:r>
      <w:r>
        <w:rPr>
          <w:rFonts w:hint="default" w:ascii="Times New Roman" w:hAnsi="Times New Roman" w:eastAsia="宋体" w:cs="Times New Roman"/>
          <w:sz w:val="24"/>
          <w:szCs w:val="24"/>
          <w:highlight w:val="none"/>
        </w:rPr>
        <w:t>老师</w:t>
      </w:r>
    </w:p>
    <w:p>
      <w:pPr>
        <w:spacing w:line="460" w:lineRule="exact"/>
        <w:ind w:firstLine="480" w:firstLineChars="200"/>
        <w:rPr>
          <w:rFonts w:hint="default" w:ascii="Times New Roman" w:hAnsi="Times New Roman" w:eastAsia="宋体" w:cs="Times New Roman"/>
          <w:sz w:val="24"/>
          <w:szCs w:val="24"/>
          <w:highlight w:val="none"/>
        </w:rPr>
      </w:pPr>
    </w:p>
    <w:p>
      <w:pPr>
        <w:spacing w:line="460" w:lineRule="exact"/>
        <w:ind w:firstLine="480" w:firstLineChars="200"/>
        <w:rPr>
          <w:rFonts w:hint="default" w:ascii="Times New Roman" w:hAnsi="Times New Roman" w:eastAsia="宋体" w:cs="Times New Roman"/>
          <w:sz w:val="24"/>
          <w:szCs w:val="24"/>
          <w:highlight w:val="none"/>
        </w:rPr>
        <w:sectPr>
          <w:headerReference r:id="rId6" w:type="default"/>
          <w:footerReference r:id="rId7" w:type="default"/>
          <w:pgSz w:w="11906" w:h="16838"/>
          <w:pgMar w:top="1418" w:right="1134" w:bottom="1134" w:left="1417" w:header="936" w:footer="720" w:gutter="0"/>
          <w:cols w:space="720" w:num="1"/>
          <w:docGrid w:linePitch="331" w:charSpace="0"/>
        </w:sectPr>
      </w:pPr>
    </w:p>
    <w:p>
      <w:pPr>
        <w:pStyle w:val="4"/>
        <w:bidi w:val="0"/>
        <w:jc w:val="center"/>
        <w:rPr>
          <w:rFonts w:hint="eastAsia" w:ascii="宋体" w:hAnsi="宋体" w:eastAsia="宋体" w:cs="宋体"/>
        </w:rPr>
      </w:pPr>
      <w:bookmarkStart w:id="52" w:name="_Toc25948_WPSOffice_Level1"/>
      <w:bookmarkStart w:id="53" w:name="_Toc60996675"/>
      <w:bookmarkStart w:id="54" w:name="_Toc15289"/>
      <w:bookmarkStart w:id="55" w:name="_第二章__投标人须知"/>
      <w:r>
        <w:rPr>
          <w:rFonts w:hint="default" w:ascii="Times New Roman" w:hAnsi="Times New Roman" w:eastAsia="宋体" w:cs="Times New Roman"/>
          <w:lang w:val="en-US" w:eastAsia="zh-CN"/>
        </w:rPr>
        <w:t>第二章</w:t>
      </w:r>
      <w:bookmarkEnd w:id="52"/>
      <w:bookmarkEnd w:id="53"/>
      <w:r>
        <w:rPr>
          <w:rFonts w:hint="default" w:ascii="Times New Roman" w:hAnsi="Times New Roman" w:eastAsia="宋体" w:cs="Times New Roman"/>
          <w:lang w:val="en-US" w:eastAsia="zh-CN"/>
        </w:rPr>
        <w:t xml:space="preserve">   供应商须知</w:t>
      </w:r>
      <w:bookmarkEnd w:id="54"/>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供应商须知前附表</w:t>
      </w:r>
    </w:p>
    <w:tbl>
      <w:tblPr>
        <w:tblStyle w:val="1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709" w:type="dxa"/>
            <w:tcBorders>
              <w:top w:val="thinThickSmallGap" w:color="auto" w:sz="18" w:space="0"/>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序号</w:t>
            </w:r>
          </w:p>
        </w:tc>
        <w:tc>
          <w:tcPr>
            <w:tcW w:w="1843" w:type="dxa"/>
            <w:tcBorders>
              <w:top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项目名称</w:t>
            </w:r>
          </w:p>
        </w:tc>
        <w:tc>
          <w:tcPr>
            <w:tcW w:w="6520" w:type="dxa"/>
            <w:tcBorders>
              <w:top w:val="thinThickSmallGap" w:color="auto" w:sz="18" w:space="0"/>
              <w:right w:val="thickThin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采购单位</w:t>
            </w:r>
          </w:p>
        </w:tc>
        <w:tc>
          <w:tcPr>
            <w:tcW w:w="6520" w:type="dxa"/>
            <w:tcBorders>
              <w:right w:val="thickThinSmallGap" w:color="auto" w:sz="18" w:space="0"/>
            </w:tcBorders>
            <w:noWrap/>
            <w:vAlign w:val="center"/>
          </w:tcPr>
          <w:p>
            <w:pPr>
              <w:adjustRightInd w:val="0"/>
              <w:snapToGrid w:val="0"/>
              <w:spacing w:before="120" w:beforeLines="50" w:line="36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名称：楚雄医药高等专科学校</w:t>
            </w:r>
          </w:p>
          <w:p>
            <w:pPr>
              <w:adjustRightInd w:val="0"/>
              <w:snapToGrid w:val="0"/>
              <w:spacing w:before="120" w:beforeLines="50" w:line="36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地址：楚雄市东瓜镇</w:t>
            </w:r>
          </w:p>
          <w:p>
            <w:pPr>
              <w:adjustRightInd w:val="0"/>
              <w:snapToGrid w:val="0"/>
              <w:spacing w:before="120" w:beforeLines="50" w:line="36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联系方式：0878-3875679</w:t>
            </w:r>
          </w:p>
          <w:p>
            <w:pPr>
              <w:adjustRightInd w:val="0"/>
              <w:snapToGrid w:val="0"/>
              <w:spacing w:before="120" w:beforeLines="50" w:line="36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联系人：</w:t>
            </w:r>
            <w:r>
              <w:rPr>
                <w:rFonts w:hint="default" w:ascii="Times New Roman" w:hAnsi="Times New Roman" w:eastAsia="宋体" w:cs="Times New Roman"/>
                <w:sz w:val="21"/>
                <w:szCs w:val="21"/>
                <w:highlight w:val="none"/>
                <w:lang w:eastAsia="zh-CN"/>
              </w:rPr>
              <w:t>杨</w:t>
            </w:r>
            <w:r>
              <w:rPr>
                <w:rFonts w:hint="default" w:ascii="Times New Roman" w:hAnsi="Times New Roman" w:eastAsia="宋体" w:cs="Times New Roman"/>
                <w:sz w:val="21"/>
                <w:szCs w:val="21"/>
                <w:highlight w:val="none"/>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2</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采购代理机构</w:t>
            </w:r>
          </w:p>
        </w:tc>
        <w:tc>
          <w:tcPr>
            <w:tcW w:w="6520" w:type="dxa"/>
            <w:tcBorders>
              <w:right w:val="thickThinSmallGap" w:color="auto" w:sz="18" w:space="0"/>
            </w:tcBorders>
            <w:noWrap/>
            <w:vAlign w:val="center"/>
          </w:tcPr>
          <w:p>
            <w:pPr>
              <w:spacing w:line="4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3</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项目名称</w:t>
            </w:r>
          </w:p>
        </w:tc>
        <w:tc>
          <w:tcPr>
            <w:tcW w:w="6520" w:type="dxa"/>
            <w:tcBorders>
              <w:right w:val="thickThinSmallGap" w:color="auto" w:sz="18" w:space="0"/>
            </w:tcBorders>
            <w:noWrap/>
            <w:vAlign w:val="center"/>
          </w:tcPr>
          <w:p>
            <w:pPr>
              <w:spacing w:line="400" w:lineRule="exac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楚雄医药高等专科学校人民武装部试点建设物资采购项目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4</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项目编号</w:t>
            </w:r>
          </w:p>
        </w:tc>
        <w:tc>
          <w:tcPr>
            <w:tcW w:w="6520" w:type="dxa"/>
            <w:tcBorders>
              <w:right w:val="thickThinSmallGap" w:color="auto" w:sz="18" w:space="0"/>
            </w:tcBorders>
            <w:noWrap/>
            <w:vAlign w:val="center"/>
          </w:tcPr>
          <w:p>
            <w:pPr>
              <w:spacing w:line="4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CXYZC【2022】第15号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5</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采购预算</w:t>
            </w:r>
          </w:p>
        </w:tc>
        <w:tc>
          <w:tcPr>
            <w:tcW w:w="6520" w:type="dxa"/>
            <w:tcBorders>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2500</w:t>
            </w:r>
            <w:r>
              <w:rPr>
                <w:rFonts w:hint="eastAsia" w:ascii="Times New Roman" w:hAnsi="Times New Roman" w:eastAsia="宋体" w:cs="Times New Roman"/>
                <w:sz w:val="21"/>
                <w:szCs w:val="21"/>
                <w:lang w:val="en-US" w:eastAsia="zh-CN"/>
              </w:rPr>
              <w:t>00.00</w:t>
            </w:r>
            <w:r>
              <w:rPr>
                <w:rFonts w:hint="default" w:ascii="Times New Roman" w:hAnsi="Times New Roman" w:eastAsia="宋体" w:cs="Times New Roman"/>
                <w:sz w:val="21"/>
                <w:szCs w:val="21"/>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6</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采购内容</w:t>
            </w:r>
          </w:p>
        </w:tc>
        <w:tc>
          <w:tcPr>
            <w:tcW w:w="6520" w:type="dxa"/>
            <w:tcBorders>
              <w:right w:val="thickThinSmallGap" w:color="auto" w:sz="18" w:space="0"/>
            </w:tcBorders>
            <w:noWrap/>
            <w:vAlign w:val="center"/>
          </w:tcPr>
          <w:p>
            <w:pPr>
              <w:spacing w:line="46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采购人民武装部建设物资一批，采购清单及要求，详见“第五章 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7</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交货期限</w:t>
            </w:r>
          </w:p>
        </w:tc>
        <w:tc>
          <w:tcPr>
            <w:tcW w:w="6520" w:type="dxa"/>
            <w:tcBorders>
              <w:right w:val="thickThinSmallGap" w:color="auto" w:sz="18" w:space="0"/>
            </w:tcBorders>
            <w:noWrap/>
            <w:vAlign w:val="center"/>
          </w:tcPr>
          <w:p>
            <w:pPr>
              <w:spacing w:line="400" w:lineRule="exac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lang w:eastAsia="zh-CN"/>
              </w:rPr>
              <w:t>供货时间为</w:t>
            </w:r>
            <w:r>
              <w:rPr>
                <w:rFonts w:hint="eastAsia" w:ascii="Times New Roman" w:hAnsi="Times New Roman" w:eastAsia="宋体" w:cs="Times New Roman"/>
                <w:sz w:val="21"/>
                <w:szCs w:val="21"/>
                <w:highlight w:val="none"/>
                <w:lang w:val="en-US" w:eastAsia="zh-CN"/>
              </w:rPr>
              <w:t>合同签订</w:t>
            </w:r>
            <w:r>
              <w:rPr>
                <w:rFonts w:hint="default" w:ascii="Times New Roman" w:hAnsi="Times New Roman" w:eastAsia="宋体" w:cs="Times New Roman"/>
                <w:sz w:val="21"/>
                <w:szCs w:val="21"/>
                <w:highlight w:val="none"/>
                <w:lang w:eastAsia="zh-CN"/>
              </w:rPr>
              <w:t>后</w:t>
            </w:r>
            <w:r>
              <w:rPr>
                <w:rFonts w:hint="default" w:ascii="Times New Roman" w:hAnsi="Times New Roman" w:eastAsia="宋体" w:cs="Times New Roman"/>
                <w:sz w:val="21"/>
                <w:szCs w:val="21"/>
                <w:highlight w:val="none"/>
                <w:lang w:val="en-US" w:eastAsia="zh-CN"/>
              </w:rPr>
              <w:t>3个日历天内。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8</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供应商资格要求</w:t>
            </w:r>
          </w:p>
        </w:tc>
        <w:tc>
          <w:tcPr>
            <w:tcW w:w="6520" w:type="dxa"/>
            <w:tcBorders>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基本资格条件：供应商需具备《中华人民共和国政府采购法》第二十二条规定的基本资格条件，并提供以下资格证明文件：</w:t>
            </w:r>
          </w:p>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（1）法人或者其他组织的营业执照等证明文件，自然人的身份证明；</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（2）依法缴纳税收的相关材料；</w:t>
            </w:r>
          </w:p>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）参加政府采购活动前3年内在经营活动中没有重大违法记录的书面声明；</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bottom w:val="single"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p>
        </w:tc>
        <w:tc>
          <w:tcPr>
            <w:tcW w:w="1843" w:type="dxa"/>
            <w:tcBorders>
              <w:bottom w:val="single"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p>
        </w:tc>
        <w:tc>
          <w:tcPr>
            <w:tcW w:w="6520" w:type="dxa"/>
            <w:tcBorders>
              <w:bottom w:val="single" w:color="auto" w:sz="4" w:space="0"/>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落实政府采购政策需满足的资格要求：</w:t>
            </w:r>
          </w:p>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本次采购将按照《中华人民共和国政府采购法》第九条的规定，在同等条件下，优先扶持不发达地区和少数民族地区的企业和中小企业；</w:t>
            </w:r>
          </w:p>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《政府采购促进中小企业发展暂行办法》《财政部司法部关于政府采购支持监狱企业发展有关问题的通知》《关于促进残疾人就业政府采购政策的通知》。</w:t>
            </w:r>
          </w:p>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本项目的特定资格要求：</w:t>
            </w:r>
          </w:p>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（1）具备有效的营业执照、企业税务登记证、组织机构代码证或三证合一的营业执照。</w:t>
            </w:r>
          </w:p>
          <w:p>
            <w:pPr>
              <w:spacing w:line="40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eastAsia="zh-CN"/>
              </w:rPr>
              <w:t>）具有良好的商业信誉和健全的财务会计制度，有依法缴纳税收和社会保险的良好记录；近三年内在经营活动中没有重大违法记录或出现重大质量问题；没有处于被责令停业，投标资格被取消，财产被接管、冻结、破产状态；没有被纳入违约失信企业名单、列为失信被执行人。</w:t>
            </w:r>
          </w:p>
          <w:p>
            <w:pPr>
              <w:spacing w:line="40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lang w:eastAsia="zh-CN"/>
              </w:rPr>
              <w:t>）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4、供应商提供的资料中被查实有虚假证明材料的，采购人有权取消其</w:t>
            </w:r>
            <w:r>
              <w:rPr>
                <w:rFonts w:hint="default" w:ascii="Times New Roman" w:hAnsi="Times New Roman" w:eastAsia="宋体" w:cs="Times New Roman"/>
                <w:sz w:val="21"/>
                <w:szCs w:val="21"/>
                <w:lang w:val="en-US" w:eastAsia="zh-CN"/>
              </w:rPr>
              <w:t>竞争性谈判</w:t>
            </w:r>
            <w:r>
              <w:rPr>
                <w:rFonts w:hint="default" w:ascii="Times New Roman" w:hAnsi="Times New Roman" w:eastAsia="宋体" w:cs="Times New Roman"/>
                <w:sz w:val="21"/>
                <w:szCs w:val="21"/>
                <w:lang w:eastAsia="zh-CN"/>
              </w:rPr>
              <w:t>资格；</w:t>
            </w:r>
            <w:r>
              <w:rPr>
                <w:rFonts w:hint="default" w:ascii="Times New Roman" w:hAnsi="Times New Roman" w:eastAsia="宋体" w:cs="Times New Roman"/>
                <w:sz w:val="21"/>
                <w:szCs w:val="21"/>
                <w:lang w:val="en-US" w:eastAsia="zh-CN"/>
              </w:rPr>
              <w:t>谈判</w:t>
            </w:r>
            <w:r>
              <w:rPr>
                <w:rFonts w:hint="default" w:ascii="Times New Roman" w:hAnsi="Times New Roman" w:eastAsia="宋体" w:cs="Times New Roman"/>
                <w:sz w:val="21"/>
                <w:szCs w:val="21"/>
                <w:lang w:eastAsia="zh-CN"/>
              </w:rPr>
              <w:t>后中选的，其中选资格无效。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09" w:type="dxa"/>
            <w:tcBorders>
              <w:top w:val="single" w:color="auto" w:sz="4" w:space="0"/>
              <w:left w:val="thinThickSmallGap" w:color="auto" w:sz="18" w:space="0"/>
              <w:bottom w:val="thickThin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9</w:t>
            </w:r>
          </w:p>
        </w:tc>
        <w:tc>
          <w:tcPr>
            <w:tcW w:w="1843" w:type="dxa"/>
            <w:tcBorders>
              <w:top w:val="single" w:color="auto" w:sz="4" w:space="0"/>
              <w:bottom w:val="thickThin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联合体投标</w:t>
            </w:r>
          </w:p>
        </w:tc>
        <w:tc>
          <w:tcPr>
            <w:tcW w:w="6520" w:type="dxa"/>
            <w:tcBorders>
              <w:top w:val="single" w:color="auto" w:sz="4" w:space="0"/>
              <w:bottom w:val="thickThinSmallGap" w:color="auto" w:sz="18" w:space="0"/>
              <w:right w:val="thickThinSmallGap" w:color="auto" w:sz="18" w:space="0"/>
            </w:tcBorders>
            <w:noWrap/>
            <w:vAlign w:val="center"/>
          </w:tcPr>
          <w:p>
            <w:pPr>
              <w:widowControl w:val="0"/>
              <w:spacing w:line="300" w:lineRule="exact"/>
              <w:ind w:left="0"/>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709" w:type="dxa"/>
            <w:tcBorders>
              <w:top w:val="single" w:color="auto" w:sz="4" w:space="0"/>
              <w:left w:val="thinThickSmallGap" w:color="auto" w:sz="18" w:space="0"/>
              <w:bottom w:val="thickThin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10</w:t>
            </w:r>
          </w:p>
        </w:tc>
        <w:tc>
          <w:tcPr>
            <w:tcW w:w="1843" w:type="dxa"/>
            <w:tcBorders>
              <w:top w:val="single" w:color="auto" w:sz="4" w:space="0"/>
              <w:bottom w:val="thickThin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现场踏勘</w:t>
            </w:r>
          </w:p>
        </w:tc>
        <w:tc>
          <w:tcPr>
            <w:tcW w:w="6520" w:type="dxa"/>
            <w:tcBorders>
              <w:top w:val="single" w:color="auto" w:sz="4" w:space="0"/>
              <w:bottom w:val="thickThinSmallGap" w:color="auto" w:sz="18" w:space="0"/>
              <w:right w:val="thickThinSmallGap" w:color="auto" w:sz="18" w:space="0"/>
            </w:tcBorders>
            <w:noWrap/>
            <w:vAlign w:val="center"/>
          </w:tcPr>
          <w:p>
            <w:pPr>
              <w:widowControl w:val="0"/>
              <w:spacing w:line="300" w:lineRule="exact"/>
              <w:ind w:left="0"/>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709" w:type="dxa"/>
            <w:tcBorders>
              <w:top w:val="single" w:color="auto" w:sz="4" w:space="0"/>
              <w:left w:val="thinThickSmallGap" w:color="auto" w:sz="18" w:space="0"/>
              <w:bottom w:val="thickThin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12</w:t>
            </w:r>
          </w:p>
        </w:tc>
        <w:tc>
          <w:tcPr>
            <w:tcW w:w="1843" w:type="dxa"/>
            <w:tcBorders>
              <w:top w:val="single" w:color="auto" w:sz="4" w:space="0"/>
              <w:bottom w:val="thickThin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一般条款允许偏离的最高项数</w:t>
            </w:r>
          </w:p>
        </w:tc>
        <w:tc>
          <w:tcPr>
            <w:tcW w:w="6520" w:type="dxa"/>
            <w:tcBorders>
              <w:top w:val="single" w:color="auto" w:sz="4" w:space="0"/>
              <w:bottom w:val="thickThinSmallGap" w:color="auto" w:sz="18" w:space="0"/>
              <w:right w:val="thickThinSmallGap" w:color="auto" w:sz="18" w:space="0"/>
            </w:tcBorders>
            <w:noWrap/>
            <w:vAlign w:val="center"/>
          </w:tcPr>
          <w:p>
            <w:pPr>
              <w:adjustRightInd w:val="0"/>
              <w:snapToGrid w:val="0"/>
              <w:spacing w:before="120" w:beforeLines="50"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一般商务和技术条款（参数），偏离项数之和≤ </w:t>
            </w:r>
            <w:r>
              <w:rPr>
                <w:rFonts w:hint="default" w:ascii="Times New Roman" w:hAnsi="Times New Roman" w:eastAsia="宋体" w:cs="Times New Roman"/>
                <w:kern w:val="0"/>
                <w:sz w:val="21"/>
                <w:szCs w:val="21"/>
                <w:u w:val="single"/>
              </w:rPr>
              <w:t xml:space="preserve"> 0 </w:t>
            </w:r>
            <w:r>
              <w:rPr>
                <w:rFonts w:hint="default" w:ascii="Times New Roman" w:hAnsi="Times New Roman" w:eastAsia="宋体" w:cs="Times New Roman"/>
                <w:kern w:val="0"/>
                <w:sz w:val="21"/>
                <w:szCs w:val="21"/>
              </w:rPr>
              <w:t>项，否则将导致无效谈判。</w:t>
            </w:r>
          </w:p>
          <w:p>
            <w:pPr>
              <w:widowControl w:val="0"/>
              <w:spacing w:line="300" w:lineRule="exact"/>
              <w:ind w:left="0"/>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（条款数（最高项数）的统计方法：相同内容的条款不重复计算项数）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trPr>
        <w:tc>
          <w:tcPr>
            <w:tcW w:w="709" w:type="dxa"/>
            <w:tcBorders>
              <w:top w:val="single" w:color="auto" w:sz="4" w:space="0"/>
              <w:left w:val="thinThickSmallGap" w:color="auto" w:sz="18" w:space="0"/>
              <w:bottom w:val="thickThin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13</w:t>
            </w:r>
          </w:p>
        </w:tc>
        <w:tc>
          <w:tcPr>
            <w:tcW w:w="1843" w:type="dxa"/>
            <w:tcBorders>
              <w:top w:val="single" w:color="auto" w:sz="4" w:space="0"/>
              <w:bottom w:val="thickThin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供应商提出问题的截止时间</w:t>
            </w:r>
          </w:p>
        </w:tc>
        <w:tc>
          <w:tcPr>
            <w:tcW w:w="6520" w:type="dxa"/>
            <w:tcBorders>
              <w:top w:val="single" w:color="auto" w:sz="4" w:space="0"/>
              <w:bottom w:val="thickThinSmallGap" w:color="auto" w:sz="18" w:space="0"/>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提交首次响应文件截止时间至少</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日前，所有获取了谈判文件的潜在供应商以书面的形式向学校中心提问。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 w:hRule="atLeast"/>
        </w:trPr>
        <w:tc>
          <w:tcPr>
            <w:tcW w:w="709" w:type="dxa"/>
            <w:tcBorders>
              <w:top w:val="thinThickSmallGap" w:color="auto" w:sz="18" w:space="0"/>
              <w:left w:val="thinThickSmallGap" w:color="auto" w:sz="18" w:space="0"/>
              <w:bottom w:val="single"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14</w:t>
            </w:r>
          </w:p>
        </w:tc>
        <w:tc>
          <w:tcPr>
            <w:tcW w:w="1843" w:type="dxa"/>
            <w:tcBorders>
              <w:top w:val="thinThickSmallGap" w:color="auto" w:sz="18" w:space="0"/>
              <w:bottom w:val="single"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谈判文件澄清截止时间</w:t>
            </w:r>
          </w:p>
        </w:tc>
        <w:tc>
          <w:tcPr>
            <w:tcW w:w="6520" w:type="dxa"/>
            <w:tcBorders>
              <w:top w:val="thinThickSmallGap" w:color="auto" w:sz="18" w:space="0"/>
              <w:bottom w:val="single" w:color="auto" w:sz="4" w:space="0"/>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提交首次响应文件截止时间至少</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top w:val="single" w:color="auto" w:sz="4" w:space="0"/>
              <w:left w:val="thinThickSmallGap" w:color="auto" w:sz="18" w:space="0"/>
              <w:bottom w:val="single"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15</w:t>
            </w:r>
          </w:p>
        </w:tc>
        <w:tc>
          <w:tcPr>
            <w:tcW w:w="1843" w:type="dxa"/>
            <w:tcBorders>
              <w:top w:val="single" w:color="auto" w:sz="4" w:space="0"/>
              <w:bottom w:val="single"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构成谈判文件的其他资料</w:t>
            </w:r>
          </w:p>
        </w:tc>
        <w:tc>
          <w:tcPr>
            <w:tcW w:w="6520" w:type="dxa"/>
            <w:tcBorders>
              <w:top w:val="single" w:color="auto" w:sz="4" w:space="0"/>
              <w:bottom w:val="single" w:color="auto" w:sz="4" w:space="0"/>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谈判文件的澄清或修改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709" w:type="dxa"/>
            <w:tcBorders>
              <w:top w:val="single" w:color="auto" w:sz="4" w:space="0"/>
              <w:left w:val="thinThickSmallGap" w:color="auto" w:sz="18" w:space="0"/>
              <w:bottom w:val="single"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16</w:t>
            </w:r>
          </w:p>
        </w:tc>
        <w:tc>
          <w:tcPr>
            <w:tcW w:w="1843" w:type="dxa"/>
            <w:tcBorders>
              <w:top w:val="single" w:color="auto" w:sz="4" w:space="0"/>
              <w:bottom w:val="single"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投标有效期</w:t>
            </w:r>
          </w:p>
        </w:tc>
        <w:tc>
          <w:tcPr>
            <w:tcW w:w="6520" w:type="dxa"/>
            <w:tcBorders>
              <w:top w:val="single" w:color="auto" w:sz="4" w:space="0"/>
              <w:bottom w:val="single" w:color="auto" w:sz="4" w:space="0"/>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60日历天（从提交首次响应文件截止时间之日起计算）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17</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谈判保证金</w:t>
            </w:r>
          </w:p>
        </w:tc>
        <w:tc>
          <w:tcPr>
            <w:tcW w:w="6520" w:type="dxa"/>
            <w:tcBorders>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保证金的形式：现金，保证金的金额</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40</w:t>
            </w:r>
            <w:r>
              <w:rPr>
                <w:rFonts w:hint="default" w:ascii="Times New Roman" w:hAnsi="Times New Roman" w:eastAsia="宋体" w:cs="Times New Roman"/>
                <w:sz w:val="21"/>
                <w:szCs w:val="21"/>
              </w:rPr>
              <w:t>00.00（大写：人民币</w:t>
            </w:r>
            <w:r>
              <w:rPr>
                <w:rFonts w:hint="default" w:ascii="Times New Roman" w:hAnsi="Times New Roman" w:eastAsia="宋体" w:cs="Times New Roman"/>
                <w:sz w:val="21"/>
                <w:szCs w:val="21"/>
                <w:lang w:val="en-US" w:eastAsia="zh-CN"/>
              </w:rPr>
              <w:t>肆仟</w:t>
            </w:r>
            <w:r>
              <w:rPr>
                <w:rFonts w:hint="default" w:ascii="Times New Roman" w:hAnsi="Times New Roman" w:eastAsia="宋体" w:cs="Times New Roman"/>
                <w:sz w:val="21"/>
                <w:szCs w:val="21"/>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709" w:type="dxa"/>
            <w:tcBorders>
              <w:left w:val="thinThickSmallGap" w:color="auto" w:sz="18" w:space="0"/>
              <w:bottom w:val="single"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18</w:t>
            </w:r>
          </w:p>
        </w:tc>
        <w:tc>
          <w:tcPr>
            <w:tcW w:w="1843" w:type="dxa"/>
            <w:tcBorders>
              <w:bottom w:val="single"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签字和盖章要求</w:t>
            </w:r>
          </w:p>
        </w:tc>
        <w:tc>
          <w:tcPr>
            <w:tcW w:w="6520" w:type="dxa"/>
            <w:tcBorders>
              <w:bottom w:val="single" w:color="auto" w:sz="4" w:space="0"/>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按照谈判文件格式在需要盖单位章或签字的地方进行签章和签名。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top w:val="single" w:color="auto" w:sz="4" w:space="0"/>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19</w:t>
            </w:r>
          </w:p>
        </w:tc>
        <w:tc>
          <w:tcPr>
            <w:tcW w:w="1843" w:type="dxa"/>
            <w:tcBorders>
              <w:top w:val="single"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响应文件份数</w:t>
            </w:r>
          </w:p>
        </w:tc>
        <w:tc>
          <w:tcPr>
            <w:tcW w:w="6520" w:type="dxa"/>
            <w:tcBorders>
              <w:top w:val="single" w:color="auto" w:sz="4" w:space="0"/>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纸质响应文件一正一副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trPr>
        <w:tc>
          <w:tcPr>
            <w:tcW w:w="709" w:type="dxa"/>
            <w:tcBorders>
              <w:top w:val="dotted" w:color="auto" w:sz="4" w:space="0"/>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20</w:t>
            </w:r>
          </w:p>
        </w:tc>
        <w:tc>
          <w:tcPr>
            <w:tcW w:w="1843" w:type="dxa"/>
            <w:tcBorders>
              <w:top w:val="dotted" w:color="auto" w:sz="4"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提交响应文件</w:t>
            </w:r>
          </w:p>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递交及截止时间</w:t>
            </w:r>
          </w:p>
        </w:tc>
        <w:tc>
          <w:tcPr>
            <w:tcW w:w="6520" w:type="dxa"/>
            <w:tcBorders>
              <w:top w:val="dotted" w:color="auto" w:sz="4" w:space="0"/>
              <w:right w:val="thickThinSmallGap" w:color="auto" w:sz="18" w:space="0"/>
            </w:tcBorders>
            <w:noWrap/>
            <w:vAlign w:val="center"/>
          </w:tcPr>
          <w:p>
            <w:pPr>
              <w:spacing w:line="400" w:lineRule="exac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响应文件递交时间：</w:t>
            </w:r>
            <w:r>
              <w:rPr>
                <w:rFonts w:hint="default" w:ascii="Times New Roman" w:hAnsi="Times New Roman" w:eastAsia="宋体" w:cs="Times New Roman"/>
                <w:sz w:val="21"/>
                <w:szCs w:val="21"/>
                <w:highlight w:val="none"/>
                <w:lang w:eastAsia="zh-CN"/>
              </w:rPr>
              <w:t>202</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lang w:eastAsia="zh-CN"/>
              </w:rPr>
              <w:t>年</w:t>
            </w:r>
            <w:r>
              <w:rPr>
                <w:rFonts w:hint="default" w:ascii="Times New Roman" w:hAnsi="Times New Roman" w:eastAsia="宋体" w:cs="Times New Roman"/>
                <w:sz w:val="21"/>
                <w:szCs w:val="21"/>
                <w:highlight w:val="none"/>
                <w:lang w:val="en-US" w:eastAsia="zh-CN"/>
              </w:rPr>
              <w:t>5</w:t>
            </w:r>
            <w:r>
              <w:rPr>
                <w:rFonts w:hint="default" w:ascii="Times New Roman" w:hAnsi="Times New Roman" w:eastAsia="宋体" w:cs="Times New Roman"/>
                <w:sz w:val="21"/>
                <w:szCs w:val="21"/>
                <w:highlight w:val="none"/>
                <w:lang w:eastAsia="zh-CN"/>
              </w:rPr>
              <w:t>月</w:t>
            </w:r>
            <w:r>
              <w:rPr>
                <w:rFonts w:hint="default" w:ascii="Times New Roman" w:hAnsi="Times New Roman" w:eastAsia="宋体" w:cs="Times New Roman"/>
                <w:sz w:val="21"/>
                <w:szCs w:val="21"/>
                <w:highlight w:val="none"/>
                <w:lang w:val="en-US" w:eastAsia="zh-CN"/>
              </w:rPr>
              <w:t>23</w:t>
            </w:r>
            <w:r>
              <w:rPr>
                <w:rFonts w:hint="default" w:ascii="Times New Roman" w:hAnsi="Times New Roman" w:eastAsia="宋体" w:cs="Times New Roman"/>
                <w:sz w:val="21"/>
                <w:szCs w:val="21"/>
                <w:highlight w:val="none"/>
                <w:lang w:eastAsia="zh-CN"/>
              </w:rPr>
              <w:t>日</w:t>
            </w:r>
            <w:r>
              <w:rPr>
                <w:rFonts w:hint="eastAsia" w:ascii="Times New Roman" w:hAnsi="Times New Roman" w:eastAsia="宋体" w:cs="Times New Roman"/>
                <w:sz w:val="21"/>
                <w:szCs w:val="21"/>
                <w:highlight w:val="none"/>
                <w:lang w:val="en-US" w:eastAsia="zh-CN"/>
              </w:rPr>
              <w:t>09</w:t>
            </w:r>
            <w:r>
              <w:rPr>
                <w:rFonts w:hint="default" w:ascii="Times New Roman" w:hAnsi="Times New Roman" w:eastAsia="宋体" w:cs="Times New Roman"/>
                <w:sz w:val="21"/>
                <w:szCs w:val="21"/>
                <w:highlight w:val="none"/>
              </w:rPr>
              <w:t>:00时至</w:t>
            </w:r>
            <w:r>
              <w:rPr>
                <w:rFonts w:hint="eastAsia" w:ascii="Times New Roman" w:hAnsi="Times New Roman" w:eastAsia="宋体" w:cs="Times New Roman"/>
                <w:sz w:val="21"/>
                <w:szCs w:val="21"/>
                <w:highlight w:val="none"/>
                <w:lang w:val="en-US" w:eastAsia="zh-CN"/>
              </w:rPr>
              <w:t>09</w:t>
            </w:r>
            <w:r>
              <w:rPr>
                <w:rFonts w:hint="default" w:ascii="Times New Roman" w:hAnsi="Times New Roman" w:eastAsia="宋体" w:cs="Times New Roman"/>
                <w:sz w:val="21"/>
                <w:szCs w:val="21"/>
                <w:highlight w:val="none"/>
              </w:rPr>
              <w:t>:30时(北京时间)</w:t>
            </w:r>
          </w:p>
          <w:p>
            <w:pPr>
              <w:spacing w:line="400" w:lineRule="exac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响应文件截止时间：</w:t>
            </w:r>
            <w:r>
              <w:rPr>
                <w:rFonts w:hint="default" w:ascii="Times New Roman" w:hAnsi="Times New Roman" w:eastAsia="宋体" w:cs="Times New Roman"/>
                <w:sz w:val="21"/>
                <w:szCs w:val="21"/>
                <w:highlight w:val="none"/>
                <w:lang w:eastAsia="zh-CN"/>
              </w:rPr>
              <w:t>202</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lang w:eastAsia="zh-CN"/>
              </w:rPr>
              <w:t>年</w:t>
            </w:r>
            <w:r>
              <w:rPr>
                <w:rFonts w:hint="default" w:ascii="Times New Roman" w:hAnsi="Times New Roman" w:eastAsia="宋体" w:cs="Times New Roman"/>
                <w:sz w:val="21"/>
                <w:szCs w:val="21"/>
                <w:highlight w:val="none"/>
                <w:lang w:val="en-US" w:eastAsia="zh-CN"/>
              </w:rPr>
              <w:t>5</w:t>
            </w:r>
            <w:r>
              <w:rPr>
                <w:rFonts w:hint="default" w:ascii="Times New Roman" w:hAnsi="Times New Roman" w:eastAsia="宋体" w:cs="Times New Roman"/>
                <w:sz w:val="21"/>
                <w:szCs w:val="21"/>
                <w:highlight w:val="none"/>
                <w:lang w:eastAsia="zh-CN"/>
              </w:rPr>
              <w:t>月</w:t>
            </w:r>
            <w:r>
              <w:rPr>
                <w:rFonts w:hint="default" w:ascii="Times New Roman" w:hAnsi="Times New Roman" w:eastAsia="宋体" w:cs="Times New Roman"/>
                <w:sz w:val="21"/>
                <w:szCs w:val="21"/>
                <w:highlight w:val="none"/>
                <w:lang w:val="en-US" w:eastAsia="zh-CN"/>
              </w:rPr>
              <w:t>23</w:t>
            </w:r>
            <w:r>
              <w:rPr>
                <w:rFonts w:hint="default" w:ascii="Times New Roman" w:hAnsi="Times New Roman" w:eastAsia="宋体" w:cs="Times New Roman"/>
                <w:sz w:val="21"/>
                <w:szCs w:val="21"/>
                <w:highlight w:val="none"/>
                <w:lang w:eastAsia="zh-CN"/>
              </w:rPr>
              <w:t>日</w:t>
            </w:r>
            <w:r>
              <w:rPr>
                <w:rFonts w:hint="default" w:ascii="Times New Roman" w:hAnsi="Times New Roman" w:eastAsia="宋体" w:cs="Times New Roman"/>
                <w:sz w:val="21"/>
                <w:szCs w:val="21"/>
                <w:highlight w:val="none"/>
                <w:lang w:val="en-US" w:eastAsia="zh-CN"/>
              </w:rPr>
              <w:t>09</w:t>
            </w:r>
            <w:r>
              <w:rPr>
                <w:rFonts w:hint="default" w:ascii="Times New Roman" w:hAnsi="Times New Roman" w:eastAsia="宋体" w:cs="Times New Roman"/>
                <w:sz w:val="21"/>
                <w:szCs w:val="21"/>
                <w:highlight w:val="none"/>
              </w:rPr>
              <w:t>点</w:t>
            </w:r>
            <w:r>
              <w:rPr>
                <w:rFonts w:hint="eastAsia"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21</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响应文件开启地点</w:t>
            </w:r>
          </w:p>
        </w:tc>
        <w:tc>
          <w:tcPr>
            <w:tcW w:w="6520" w:type="dxa"/>
            <w:tcBorders>
              <w:right w:val="thickThinSmallGap" w:color="auto" w:sz="18" w:space="0"/>
            </w:tcBorders>
            <w:noWrap/>
            <w:vAlign w:val="center"/>
          </w:tcPr>
          <w:p>
            <w:pPr>
              <w:spacing w:line="4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楚雄医药高等专科学校远志楼8楼保卫处会议室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22</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谈判小组</w:t>
            </w:r>
          </w:p>
        </w:tc>
        <w:tc>
          <w:tcPr>
            <w:tcW w:w="6520" w:type="dxa"/>
            <w:tcBorders>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谈判小组的构成：3人及以上单数。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2</w:t>
            </w:r>
            <w:r>
              <w:rPr>
                <w:rFonts w:hint="eastAsia" w:ascii="Times New Roman" w:hAnsi="Times New Roman" w:eastAsia="宋体" w:cs="Times New Roman"/>
                <w:kern w:val="0"/>
                <w:sz w:val="21"/>
                <w:szCs w:val="21"/>
                <w:lang w:val="en-US" w:eastAsia="zh-CN" w:bidi="ar-SA"/>
              </w:rPr>
              <w:t>3</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评审方法</w:t>
            </w:r>
          </w:p>
        </w:tc>
        <w:tc>
          <w:tcPr>
            <w:tcW w:w="6520" w:type="dxa"/>
            <w:tcBorders>
              <w:right w:val="thickThinSmallGap" w:color="auto" w:sz="18" w:space="0"/>
            </w:tcBorders>
            <w:noWrap/>
            <w:vAlign w:val="center"/>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2</w:t>
            </w:r>
            <w:r>
              <w:rPr>
                <w:rFonts w:hint="eastAsia" w:ascii="Times New Roman" w:hAnsi="Times New Roman" w:eastAsia="宋体" w:cs="Times New Roman"/>
                <w:kern w:val="0"/>
                <w:sz w:val="21"/>
                <w:szCs w:val="21"/>
                <w:lang w:val="en-US" w:eastAsia="zh-CN" w:bidi="ar-SA"/>
              </w:rPr>
              <w:t>4</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推荐的成交候选人数量</w:t>
            </w:r>
          </w:p>
        </w:tc>
        <w:tc>
          <w:tcPr>
            <w:tcW w:w="6520" w:type="dxa"/>
            <w:tcBorders>
              <w:right w:val="thickThinSmallGap" w:color="auto" w:sz="18" w:space="0"/>
            </w:tcBorders>
            <w:noWrap/>
            <w:vAlign w:val="center"/>
          </w:tcPr>
          <w:p>
            <w:pPr>
              <w:widowControl w:val="0"/>
              <w:spacing w:line="300" w:lineRule="exact"/>
              <w:ind w:left="0"/>
              <w:jc w:val="both"/>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709" w:type="dxa"/>
            <w:tcBorders>
              <w:left w:val="thinThick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2</w:t>
            </w:r>
            <w:r>
              <w:rPr>
                <w:rFonts w:hint="eastAsia" w:ascii="Times New Roman" w:hAnsi="Times New Roman" w:eastAsia="宋体" w:cs="Times New Roman"/>
                <w:kern w:val="0"/>
                <w:sz w:val="21"/>
                <w:szCs w:val="21"/>
                <w:lang w:val="en-US" w:eastAsia="zh-CN" w:bidi="ar-SA"/>
              </w:rPr>
              <w:t>5</w:t>
            </w:r>
          </w:p>
        </w:tc>
        <w:tc>
          <w:tcPr>
            <w:tcW w:w="1843" w:type="dxa"/>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履约保证金</w:t>
            </w:r>
          </w:p>
        </w:tc>
        <w:tc>
          <w:tcPr>
            <w:tcW w:w="6520" w:type="dxa"/>
            <w:tcBorders>
              <w:right w:val="thickThinSmallGap" w:color="auto" w:sz="18" w:space="0"/>
            </w:tcBorders>
            <w:noWrap/>
            <w:vAlign w:val="center"/>
          </w:tcPr>
          <w:p>
            <w:pPr>
              <w:widowControl w:val="0"/>
              <w:jc w:val="both"/>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合同签订之前，供应商按合同金额的3%向采购人交纳履约保证金，履约保证金在供应商按合同约定交货验收合格后转为质量保证金，</w:t>
            </w:r>
            <w:r>
              <w:rPr>
                <w:rFonts w:hint="eastAsia" w:ascii="Times New Roman" w:hAnsi="Times New Roman" w:eastAsia="宋体" w:cs="Times New Roman"/>
                <w:kern w:val="0"/>
                <w:sz w:val="21"/>
                <w:szCs w:val="21"/>
                <w:lang w:val="en-US" w:eastAsia="zh-CN" w:bidi="ar-SA"/>
              </w:rPr>
              <w:t>非人为损坏</w:t>
            </w:r>
            <w:r>
              <w:rPr>
                <w:rFonts w:hint="default" w:ascii="Times New Roman" w:hAnsi="Times New Roman" w:eastAsia="宋体" w:cs="Times New Roman"/>
                <w:kern w:val="0"/>
                <w:sz w:val="21"/>
                <w:szCs w:val="21"/>
                <w:lang w:val="en-US" w:eastAsia="zh-CN" w:bidi="ar-SA"/>
              </w:rPr>
              <w:t>满</w:t>
            </w:r>
            <w:r>
              <w:rPr>
                <w:rFonts w:hint="eastAsia" w:ascii="Times New Roman" w:hAnsi="Times New Roman" w:eastAsia="宋体" w:cs="Times New Roman"/>
                <w:kern w:val="0"/>
                <w:sz w:val="21"/>
                <w:szCs w:val="21"/>
                <w:lang w:val="en-US" w:eastAsia="zh-CN" w:bidi="ar-SA"/>
              </w:rPr>
              <w:t>1年</w:t>
            </w:r>
            <w:r>
              <w:rPr>
                <w:rFonts w:hint="default" w:ascii="Times New Roman" w:hAnsi="Times New Roman" w:eastAsia="宋体" w:cs="Times New Roman"/>
                <w:kern w:val="0"/>
                <w:sz w:val="21"/>
                <w:szCs w:val="21"/>
                <w:lang w:val="en-US" w:eastAsia="zh-CN" w:bidi="ar-SA"/>
              </w:rPr>
              <w:t>在20个工作日内甲方一次性无息退还乙方。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709" w:type="dxa"/>
            <w:tcBorders>
              <w:left w:val="thinThickSmallGap" w:color="auto" w:sz="18" w:space="0"/>
              <w:bottom w:val="thickThin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26</w:t>
            </w:r>
          </w:p>
        </w:tc>
        <w:tc>
          <w:tcPr>
            <w:tcW w:w="1843" w:type="dxa"/>
            <w:tcBorders>
              <w:bottom w:val="thickThinSmallGap" w:color="auto" w:sz="18" w:space="0"/>
            </w:tcBorders>
            <w:noWrap/>
            <w:vAlign w:val="center"/>
          </w:tcPr>
          <w:p>
            <w:pPr>
              <w:widowControl w:val="0"/>
              <w:spacing w:line="300" w:lineRule="exact"/>
              <w:ind w:left="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其他要求</w:t>
            </w:r>
          </w:p>
        </w:tc>
        <w:tc>
          <w:tcPr>
            <w:tcW w:w="6520" w:type="dxa"/>
            <w:tcBorders>
              <w:bottom w:val="thickThinSmallGap" w:color="auto" w:sz="18" w:space="0"/>
              <w:right w:val="thickThinSmallGap" w:color="auto" w:sz="18" w:space="0"/>
            </w:tcBorders>
            <w:noWrap/>
          </w:tcPr>
          <w:p>
            <w:pPr>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p>
        </w:tc>
      </w:tr>
      <w:bookmarkEnd w:id="55"/>
    </w:tbl>
    <w:p>
      <w:pPr>
        <w:keepNext/>
        <w:widowControl w:val="0"/>
        <w:tabs>
          <w:tab w:val="left" w:pos="360"/>
          <w:tab w:val="left" w:pos="1021"/>
        </w:tabs>
        <w:adjustRightInd w:val="0"/>
        <w:spacing w:before="0" w:line="240" w:lineRule="atLeast"/>
        <w:jc w:val="both"/>
        <w:textAlignment w:val="baseline"/>
        <w:outlineLvl w:val="1"/>
        <w:rPr>
          <w:rStyle w:val="18"/>
          <w:rFonts w:hint="default" w:ascii="Times New Roman" w:hAnsi="Times New Roman" w:eastAsia="宋体" w:cs="Times New Roman"/>
          <w:lang w:val="en-US" w:eastAsia="zh-CN"/>
        </w:rPr>
      </w:pPr>
      <w:bookmarkStart w:id="56" w:name="_Toc9220"/>
      <w:bookmarkStart w:id="57" w:name="_Toc9300_WPSOffice_Level1"/>
      <w:bookmarkStart w:id="58" w:name="_Toc25948_WPSOffice_Level2"/>
      <w:bookmarkStart w:id="59" w:name="_Toc24244_WPSOffice_Level1"/>
      <w:bookmarkStart w:id="60" w:name="_Toc60996677"/>
      <w:bookmarkStart w:id="61" w:name="__x000F_一、总__则"/>
      <w:r>
        <w:rPr>
          <w:rStyle w:val="18"/>
          <w:rFonts w:hint="default" w:ascii="Times New Roman" w:hAnsi="Times New Roman" w:eastAsia="宋体" w:cs="Times New Roman"/>
          <w:lang w:val="en-US" w:eastAsia="zh-CN"/>
        </w:rPr>
        <w:t>2.1 总则</w:t>
      </w:r>
      <w:bookmarkEnd w:id="56"/>
      <w:bookmarkEnd w:id="57"/>
      <w:bookmarkEnd w:id="58"/>
      <w:bookmarkEnd w:id="59"/>
      <w:bookmarkEnd w:id="60"/>
    </w:p>
    <w:bookmarkEnd w:id="61"/>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bookmarkStart w:id="62" w:name="_Toc28341"/>
      <w:r>
        <w:rPr>
          <w:rFonts w:hint="default" w:ascii="Times New Roman" w:hAnsi="Times New Roman" w:eastAsia="宋体" w:cs="Times New Roman"/>
          <w:sz w:val="24"/>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项目概况</w:t>
      </w:r>
      <w:bookmarkEnd w:id="6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为做好我校人民武装部试点建设工作，现需采购人民武装部建设物资一批</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参照《政府采购法》及我校采购管理相关规定，本次</w:t>
      </w:r>
      <w:r>
        <w:rPr>
          <w:rFonts w:hint="default" w:ascii="Times New Roman" w:hAnsi="Times New Roman" w:eastAsia="宋体" w:cs="Times New Roman"/>
          <w:sz w:val="24"/>
          <w:lang w:val="en-US" w:eastAsia="zh-CN"/>
        </w:rPr>
        <w:t>人民武装部建设物资</w:t>
      </w:r>
      <w:r>
        <w:rPr>
          <w:rFonts w:hint="default" w:ascii="Times New Roman" w:hAnsi="Times New Roman" w:eastAsia="宋体" w:cs="Times New Roman"/>
          <w:sz w:val="24"/>
          <w:lang w:eastAsia="zh-CN"/>
        </w:rPr>
        <w:t>采购采用竞争性谈判</w:t>
      </w:r>
      <w:r>
        <w:rPr>
          <w:rFonts w:hint="default" w:ascii="Times New Roman" w:hAnsi="Times New Roman" w:eastAsia="宋体" w:cs="Times New Roman"/>
          <w:sz w:val="24"/>
        </w:rPr>
        <w:t>的方式进行。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本项目采购人、采购代理机构、项目名称、项目编号、项目预算及最高限价：见“供应商须知前附表”。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bookmarkStart w:id="63" w:name="_Toc10402"/>
      <w:bookmarkStart w:id="64" w:name="_Toc468805854"/>
      <w:r>
        <w:rPr>
          <w:rFonts w:hint="default" w:ascii="Times New Roman" w:hAnsi="Times New Roman" w:eastAsia="宋体" w:cs="Times New Roman"/>
          <w:sz w:val="24"/>
        </w:rPr>
        <w:t>3</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采购内容及交货期</w:t>
      </w:r>
      <w:bookmarkEnd w:id="63"/>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bookmarkStart w:id="65" w:name="_Toc17687_WPSOffice_Level2"/>
      <w:bookmarkStart w:id="66" w:name="_Toc14054_WPSOffice_Level3"/>
      <w:bookmarkStart w:id="67" w:name="_Toc29818_WPSOffice_Level2"/>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本项目采购内容：见“供应商须知前附表”。</w:t>
      </w:r>
      <w:bookmarkEnd w:id="65"/>
      <w:bookmarkEnd w:id="66"/>
      <w:bookmarkEnd w:id="67"/>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bookmarkStart w:id="68" w:name="_Toc23972_WPSOffice_Level2"/>
      <w:bookmarkStart w:id="69" w:name="_Toc20587_WPSOffice_Level3"/>
      <w:bookmarkStart w:id="70" w:name="_Toc22352_WPSOffice_Level2"/>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本项目交货期：见“供应商须知前附表”。</w:t>
      </w:r>
      <w:bookmarkEnd w:id="68"/>
      <w:bookmarkEnd w:id="69"/>
      <w:bookmarkEnd w:id="70"/>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bookmarkStart w:id="71" w:name="_Toc10248"/>
      <w:r>
        <w:rPr>
          <w:rFonts w:hint="default" w:ascii="Times New Roman" w:hAnsi="Times New Roman" w:eastAsia="宋体" w:cs="Times New Roman"/>
          <w:sz w:val="24"/>
        </w:rPr>
        <w:t>4</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供应商资格要求</w:t>
      </w:r>
      <w:bookmarkEnd w:id="71"/>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720" w:firstLineChars="300"/>
        <w:textAlignment w:val="auto"/>
        <w:rPr>
          <w:rFonts w:hint="default" w:ascii="Times New Roman" w:hAnsi="Times New Roman" w:eastAsia="宋体" w:cs="Times New Roman"/>
          <w:sz w:val="24"/>
          <w:lang w:eastAsia="zh-CN"/>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1</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满足《中华人民共和国政府采购法》第二十二条规定</w:t>
      </w:r>
      <w:r>
        <w:rPr>
          <w:rFonts w:hint="default" w:ascii="Times New Roman" w:hAnsi="Times New Roman" w:eastAsia="宋体" w:cs="Times New Roman"/>
          <w:sz w:val="24"/>
          <w:lang w:eastAsia="zh-CN"/>
        </w:rPr>
        <w:t>；</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720" w:firstLineChars="300"/>
        <w:textAlignment w:val="auto"/>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720" w:firstLineChars="300"/>
        <w:textAlignment w:val="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本次采购将按照《中华人民共和国政府采购法》第九条的规定，在同等条件下，优先扶持不发达地区和少数民族地区的企业和中小企业；</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720" w:firstLineChars="300"/>
        <w:textAlignment w:val="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《政府采购促进中小企业发展暂行办法》《财政部司法部关于政府采购支持监狱企业发展有关问题的通知》《关于促进残疾人就业政府采购政策的通知》。</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720" w:firstLineChars="300"/>
        <w:textAlignment w:val="auto"/>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本项目的特定资格要求：</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720" w:firstLineChars="300"/>
        <w:textAlignment w:val="auto"/>
        <w:rPr>
          <w:rFonts w:hint="default" w:ascii="Times New Roman" w:hAnsi="Times New Roman" w:eastAsia="宋体" w:cs="Times New Roman"/>
          <w:sz w:val="24"/>
        </w:rPr>
      </w:pPr>
      <w:r>
        <w:rPr>
          <w:rFonts w:hint="default" w:ascii="Times New Roman" w:hAnsi="Times New Roman" w:eastAsia="宋体" w:cs="Times New Roman"/>
          <w:sz w:val="24"/>
        </w:rPr>
        <w:t>1）具备有效的营业执照、企业税务登记证、组织机构代码证或三证合一的营业执照。</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720" w:firstLineChars="300"/>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具有良好的商业信誉和健全的财务会计制度，有依法缴纳税收和社会保险的良好记录；近三年内在经营活动中没有重大违法记录或出现重大质量问题；没有处于被责令停业，投标资格被取消，财产被接管、冻结、破产状态；没有被纳入违约失信企业名单、列为失信被执行人。</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720" w:firstLineChars="300"/>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720" w:firstLineChars="300"/>
        <w:textAlignment w:val="auto"/>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w:t>
      </w:r>
      <w:r>
        <w:rPr>
          <w:rFonts w:hint="default" w:ascii="Times New Roman" w:hAnsi="Times New Roman" w:eastAsia="宋体" w:cs="Times New Roman"/>
          <w:sz w:val="24"/>
          <w:lang w:eastAsia="zh-CN"/>
        </w:rPr>
        <w:t>供应商提供的资料中被查实有虚假证明材料的，采购人有权取消其</w:t>
      </w:r>
      <w:r>
        <w:rPr>
          <w:rFonts w:hint="default" w:ascii="Times New Roman" w:hAnsi="Times New Roman" w:eastAsia="宋体" w:cs="Times New Roman"/>
          <w:sz w:val="24"/>
          <w:lang w:val="en-US" w:eastAsia="zh-CN"/>
        </w:rPr>
        <w:t>竞争性谈判</w:t>
      </w:r>
      <w:r>
        <w:rPr>
          <w:rFonts w:hint="default" w:ascii="Times New Roman" w:hAnsi="Times New Roman" w:eastAsia="宋体" w:cs="Times New Roman"/>
          <w:sz w:val="24"/>
          <w:lang w:eastAsia="zh-CN"/>
        </w:rPr>
        <w:t>资格；</w:t>
      </w:r>
      <w:r>
        <w:rPr>
          <w:rFonts w:hint="default" w:ascii="Times New Roman" w:hAnsi="Times New Roman" w:eastAsia="宋体" w:cs="Times New Roman"/>
          <w:sz w:val="24"/>
          <w:lang w:val="en-US" w:eastAsia="zh-CN"/>
        </w:rPr>
        <w:t>谈判</w:t>
      </w:r>
      <w:r>
        <w:rPr>
          <w:rFonts w:hint="default" w:ascii="Times New Roman" w:hAnsi="Times New Roman" w:eastAsia="宋体" w:cs="Times New Roman"/>
          <w:sz w:val="24"/>
          <w:lang w:eastAsia="zh-CN"/>
        </w:rPr>
        <w:t>后中选的，其中选资格无效。</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5</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供应商不得存在下列情形之一：</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default" w:ascii="Times New Roman" w:hAnsi="Times New Roman" w:eastAsia="宋体" w:cs="Times New Roman"/>
          <w:sz w:val="24"/>
        </w:rPr>
      </w:pPr>
      <w:bookmarkStart w:id="72" w:name="_Toc29818_WPSOffice_Level3"/>
      <w:bookmarkStart w:id="73" w:name="_Toc17687_WPSOffice_Level3"/>
      <w:r>
        <w:rPr>
          <w:rFonts w:hint="default" w:ascii="Times New Roman" w:hAnsi="Times New Roman" w:eastAsia="宋体" w:cs="Times New Roman"/>
          <w:sz w:val="24"/>
        </w:rPr>
        <w:t>①与采购人或采购代理机构存在隶属关系或者其他利害关系；</w:t>
      </w:r>
      <w:bookmarkEnd w:id="72"/>
      <w:bookmarkEnd w:id="73"/>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default" w:ascii="Times New Roman" w:hAnsi="Times New Roman" w:eastAsia="宋体" w:cs="Times New Roman"/>
          <w:sz w:val="24"/>
        </w:rPr>
      </w:pPr>
      <w:r>
        <w:rPr>
          <w:rFonts w:hint="default" w:ascii="Times New Roman" w:hAnsi="Times New Roman" w:eastAsia="宋体" w:cs="Times New Roman"/>
          <w:sz w:val="24"/>
        </w:rPr>
        <w:t>②供应商或者其法定代表人、董事、监事、高级管理人员因经营活动中的违法行为受到行政处罚，但警告和罚款额在三万元以下的行政处罚除外；</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default" w:ascii="Times New Roman" w:hAnsi="Times New Roman" w:eastAsia="宋体" w:cs="Times New Roman"/>
          <w:sz w:val="24"/>
        </w:rPr>
      </w:pPr>
      <w:r>
        <w:rPr>
          <w:rFonts w:hint="default" w:ascii="Times New Roman" w:hAnsi="Times New Roman" w:eastAsia="宋体" w:cs="Times New Roman"/>
          <w:sz w:val="24"/>
        </w:rPr>
        <w:t>③供应商或者其法定代表人、董事、监事、高级管理人员因经营活动中的违法行为受到刑事处罚。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5</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投标费用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本项目不收取任何费用。供应商应自行承担所有参与投标的相关费用，不论投标的结果如何，采购人无义务和责任承担这些费用。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6</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联合体投标</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本次招标不接受联合体投标。</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7</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采购进口产品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本采购项目拒绝进口产品参加投标。</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8</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现场踏勘</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本采购项目不组织现场踏勘。</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bookmarkStart w:id="74" w:name="_Toc20858"/>
      <w:r>
        <w:rPr>
          <w:rFonts w:hint="default" w:ascii="Times New Roman" w:hAnsi="Times New Roman" w:eastAsia="宋体" w:cs="Times New Roman"/>
          <w:sz w:val="24"/>
        </w:rPr>
        <w:t>9</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质疑</w:t>
      </w:r>
      <w:bookmarkEnd w:id="74"/>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供应商认为谈判文件、招标过程和成交结果使自己的合法权益受到损害的，可以在知道或者应知其权益受到损害之日起七个工作日内，以书面形式（纸质原件）向下列部门或采购人提出质疑。提出质疑的供应商应当是参与所质疑项目采购活动的供应商，供应商针对同一采购程序环节的质疑应当在法定质疑期内一次性提出，提出质疑时应当有明确的请求和必要的证明材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受理质疑部门：采购单位。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供应商签署的授权委托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供应商提出质疑应当提交质疑函和必要的证明材料（如材料中有外文资料应同时附上中文译本）。质疑函应当包括下列内容：</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default" w:ascii="Times New Roman" w:hAnsi="Times New Roman" w:eastAsia="宋体" w:cs="Times New Roman"/>
          <w:sz w:val="24"/>
        </w:rPr>
      </w:pPr>
      <w:r>
        <w:rPr>
          <w:rFonts w:hint="default" w:ascii="Times New Roman" w:hAnsi="Times New Roman" w:eastAsia="宋体" w:cs="Times New Roman"/>
          <w:sz w:val="24"/>
        </w:rPr>
        <w:t>1）供应商的姓名或者名称、地址、邮编、联系人及联系电话；</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default" w:ascii="Times New Roman" w:hAnsi="Times New Roman" w:eastAsia="宋体" w:cs="Times New Roman"/>
          <w:sz w:val="24"/>
        </w:rPr>
      </w:pPr>
      <w:r>
        <w:rPr>
          <w:rFonts w:hint="default" w:ascii="Times New Roman" w:hAnsi="Times New Roman" w:eastAsia="宋体" w:cs="Times New Roman"/>
          <w:sz w:val="24"/>
        </w:rPr>
        <w:t>2）质疑项目的名称、编号；</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default" w:ascii="Times New Roman" w:hAnsi="Times New Roman" w:eastAsia="宋体" w:cs="Times New Roman"/>
          <w:sz w:val="24"/>
        </w:rPr>
      </w:pPr>
      <w:r>
        <w:rPr>
          <w:rFonts w:hint="default" w:ascii="Times New Roman" w:hAnsi="Times New Roman" w:eastAsia="宋体" w:cs="Times New Roman"/>
          <w:sz w:val="24"/>
        </w:rPr>
        <w:t>3）具体、明确的质疑事项和与质疑事项相关的请求；</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default" w:ascii="Times New Roman" w:hAnsi="Times New Roman" w:eastAsia="宋体" w:cs="Times New Roman"/>
          <w:sz w:val="24"/>
        </w:rPr>
      </w:pPr>
      <w:r>
        <w:rPr>
          <w:rFonts w:hint="default" w:ascii="Times New Roman" w:hAnsi="Times New Roman" w:eastAsia="宋体" w:cs="Times New Roman"/>
          <w:sz w:val="24"/>
        </w:rPr>
        <w:t>4）事实依据；</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default" w:ascii="Times New Roman" w:hAnsi="Times New Roman" w:eastAsia="宋体" w:cs="Times New Roman"/>
          <w:sz w:val="24"/>
        </w:rPr>
      </w:pPr>
      <w:r>
        <w:rPr>
          <w:rFonts w:hint="default" w:ascii="Times New Roman" w:hAnsi="Times New Roman" w:eastAsia="宋体" w:cs="Times New Roman"/>
          <w:sz w:val="24"/>
        </w:rPr>
        <w:t>5）必要的法律依据；</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default" w:ascii="Times New Roman" w:hAnsi="Times New Roman" w:eastAsia="宋体" w:cs="Times New Roman"/>
          <w:sz w:val="24"/>
        </w:rPr>
      </w:pPr>
      <w:r>
        <w:rPr>
          <w:rFonts w:hint="default" w:ascii="Times New Roman" w:hAnsi="Times New Roman" w:eastAsia="宋体" w:cs="Times New Roman"/>
          <w:sz w:val="24"/>
        </w:rPr>
        <w:t>6）提出质疑的日期。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采购人、采购代理机构将在收到供应商的书面质疑后七个工作日内作出答复，并以书面形式通知质疑供应商和其他有关供应商，但答复的内容不涉及商业秘密。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rPr>
      </w:pPr>
      <w:bookmarkStart w:id="75" w:name="_Toc18210"/>
      <w:r>
        <w:rPr>
          <w:rFonts w:hint="default" w:ascii="Times New Roman" w:hAnsi="Times New Roman" w:eastAsia="宋体" w:cs="Times New Roman"/>
          <w:sz w:val="24"/>
        </w:rPr>
        <w:t>10</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投诉</w:t>
      </w:r>
      <w:bookmarkEnd w:id="75"/>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rPr>
      </w:pPr>
      <w:r>
        <w:rPr>
          <w:rFonts w:hint="default" w:ascii="Times New Roman" w:hAnsi="Times New Roman" w:eastAsia="宋体" w:cs="Times New Roman"/>
          <w:sz w:val="24"/>
        </w:rPr>
        <w:t>投诉必须首先经过质疑程序。质疑供应商对采购人、采购代理机构的答复不满意，或者采购人、采购代理机构未在规定的时间内做出答复的，可以在答复期满后十五个工作日内书面向政府采购管理处提起投诉。</w:t>
      </w:r>
    </w:p>
    <w:p>
      <w:pPr>
        <w:pStyle w:val="5"/>
        <w:bidi w:val="0"/>
        <w:rPr>
          <w:rFonts w:hint="default" w:ascii="Times New Roman" w:hAnsi="Times New Roman" w:eastAsia="宋体" w:cs="Times New Roman"/>
          <w:lang w:val="en-US" w:eastAsia="zh-CN"/>
        </w:rPr>
      </w:pPr>
      <w:bookmarkStart w:id="76" w:name="_Toc12523"/>
      <w:bookmarkStart w:id="77" w:name="_Toc29818_WPSOffice_Level1"/>
      <w:bookmarkStart w:id="78" w:name="_Toc5468"/>
      <w:bookmarkStart w:id="79" w:name="_Toc20599_WPSOffice_Level2"/>
      <w:bookmarkStart w:id="80" w:name="_Toc17687_WPSOffice_Level1"/>
      <w:bookmarkStart w:id="81" w:name="_Toc60996678"/>
      <w:bookmarkStart w:id="82" w:name="_二、招标文件"/>
      <w:r>
        <w:rPr>
          <w:rFonts w:hint="default" w:ascii="Times New Roman" w:hAnsi="Times New Roman" w:eastAsia="宋体" w:cs="Times New Roman"/>
          <w:lang w:val="en-US" w:eastAsia="zh-CN"/>
        </w:rPr>
        <w:t>2.2 谈判文件</w:t>
      </w:r>
      <w:bookmarkEnd w:id="76"/>
      <w:bookmarkEnd w:id="77"/>
      <w:bookmarkEnd w:id="78"/>
      <w:bookmarkEnd w:id="79"/>
      <w:bookmarkEnd w:id="80"/>
      <w:bookmarkEnd w:id="81"/>
    </w:p>
    <w:bookmarkEnd w:id="82"/>
    <w:p>
      <w:pPr>
        <w:spacing w:line="460" w:lineRule="exact"/>
        <w:ind w:firstLine="480" w:firstLineChars="200"/>
        <w:rPr>
          <w:rFonts w:hint="default" w:ascii="Times New Roman" w:hAnsi="Times New Roman" w:eastAsia="宋体" w:cs="Times New Roman"/>
          <w:sz w:val="24"/>
          <w:szCs w:val="24"/>
        </w:rPr>
      </w:pPr>
      <w:bookmarkStart w:id="83" w:name="_Toc19852"/>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谈判文件构成</w:t>
      </w:r>
      <w:bookmarkEnd w:id="83"/>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要求提供的货物、采购过程及合同条款在谈判文件中均有说明，谈判文件共</w:t>
      </w:r>
      <w:r>
        <w:rPr>
          <w:rFonts w:hint="eastAsia" w:ascii="Times New Roman" w:hAnsi="Times New Roman" w:eastAsia="宋体" w:cs="Times New Roman"/>
          <w:sz w:val="24"/>
          <w:szCs w:val="24"/>
          <w:lang w:val="en-US" w:eastAsia="zh-CN"/>
        </w:rPr>
        <w:t>六</w:t>
      </w:r>
      <w:r>
        <w:rPr>
          <w:rFonts w:hint="default" w:ascii="Times New Roman" w:hAnsi="Times New Roman" w:eastAsia="宋体" w:cs="Times New Roman"/>
          <w:sz w:val="24"/>
          <w:szCs w:val="24"/>
        </w:rPr>
        <w:t>章，各章的内容如下：</w:t>
      </w:r>
    </w:p>
    <w:p>
      <w:pPr>
        <w:spacing w:line="460" w:lineRule="exact"/>
        <w:ind w:firstLine="480" w:firstLineChars="200"/>
        <w:rPr>
          <w:rFonts w:hint="default" w:ascii="Times New Roman" w:hAnsi="Times New Roman" w:eastAsia="宋体" w:cs="Times New Roman"/>
          <w:sz w:val="24"/>
          <w:szCs w:val="24"/>
        </w:rPr>
      </w:pPr>
      <w:bookmarkStart w:id="84" w:name="_Toc19285_WPSOffice_Level2"/>
      <w:bookmarkStart w:id="85" w:name="_Toc20599_WPSOffice_Level1"/>
      <w:bookmarkStart w:id="86" w:name="_Toc17346_WPSOffice_Level2"/>
      <w:r>
        <w:rPr>
          <w:rFonts w:hint="default" w:ascii="Times New Roman" w:hAnsi="Times New Roman" w:eastAsia="宋体" w:cs="Times New Roman"/>
          <w:sz w:val="24"/>
          <w:szCs w:val="24"/>
        </w:rPr>
        <w:t>第一章</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竞争性谈判公告</w:t>
      </w:r>
      <w:bookmarkEnd w:id="84"/>
      <w:bookmarkEnd w:id="85"/>
      <w:bookmarkEnd w:id="86"/>
    </w:p>
    <w:p>
      <w:pPr>
        <w:spacing w:line="460" w:lineRule="exact"/>
        <w:ind w:firstLine="480" w:firstLineChars="200"/>
        <w:rPr>
          <w:rFonts w:hint="default" w:ascii="Times New Roman" w:hAnsi="Times New Roman" w:eastAsia="宋体" w:cs="Times New Roman"/>
          <w:sz w:val="24"/>
          <w:szCs w:val="24"/>
        </w:rPr>
      </w:pPr>
      <w:bookmarkStart w:id="87" w:name="_Toc16744_WPSOffice_Level2"/>
      <w:bookmarkStart w:id="88" w:name="_Toc26127_WPSOffice_Level1"/>
      <w:bookmarkStart w:id="89" w:name="_Toc23365_WPSOffice_Level2"/>
      <w:r>
        <w:rPr>
          <w:rFonts w:hint="default" w:ascii="Times New Roman" w:hAnsi="Times New Roman" w:eastAsia="宋体" w:cs="Times New Roman"/>
          <w:sz w:val="24"/>
          <w:szCs w:val="24"/>
        </w:rPr>
        <w:t>第二章</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供应商须知</w:t>
      </w:r>
      <w:bookmarkEnd w:id="87"/>
      <w:bookmarkEnd w:id="88"/>
      <w:bookmarkEnd w:id="89"/>
    </w:p>
    <w:p>
      <w:pPr>
        <w:spacing w:line="460" w:lineRule="exact"/>
        <w:ind w:firstLine="480" w:firstLineChars="200"/>
        <w:rPr>
          <w:rFonts w:hint="default" w:ascii="Times New Roman" w:hAnsi="Times New Roman" w:eastAsia="宋体" w:cs="Times New Roman"/>
          <w:sz w:val="24"/>
          <w:szCs w:val="24"/>
        </w:rPr>
      </w:pPr>
      <w:bookmarkStart w:id="90" w:name="_Toc27417_WPSOffice_Level2"/>
      <w:bookmarkStart w:id="91" w:name="_Toc25217_WPSOffice_Level1"/>
      <w:bookmarkStart w:id="92" w:name="_Toc12853_WPSOffice_Level2"/>
      <w:r>
        <w:rPr>
          <w:rFonts w:hint="default" w:ascii="Times New Roman" w:hAnsi="Times New Roman" w:eastAsia="宋体" w:cs="Times New Roman"/>
          <w:sz w:val="24"/>
          <w:szCs w:val="24"/>
        </w:rPr>
        <w:t>第三章</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合同书样式</w:t>
      </w:r>
      <w:bookmarkEnd w:id="90"/>
      <w:bookmarkEnd w:id="91"/>
      <w:bookmarkEnd w:id="92"/>
    </w:p>
    <w:p>
      <w:pPr>
        <w:spacing w:line="460" w:lineRule="exact"/>
        <w:ind w:firstLine="480" w:firstLineChars="200"/>
        <w:rPr>
          <w:rFonts w:hint="default" w:ascii="Times New Roman" w:hAnsi="Times New Roman" w:eastAsia="宋体" w:cs="Times New Roman"/>
          <w:sz w:val="24"/>
          <w:szCs w:val="24"/>
        </w:rPr>
      </w:pPr>
      <w:bookmarkStart w:id="93" w:name="_Toc23738_WPSOffice_Level2"/>
      <w:bookmarkStart w:id="94" w:name="_Toc19055_WPSOffice_Level2"/>
      <w:bookmarkStart w:id="95" w:name="_Toc12208_WPSOffice_Level1"/>
      <w:r>
        <w:rPr>
          <w:rFonts w:hint="default" w:ascii="Times New Roman" w:hAnsi="Times New Roman" w:eastAsia="宋体" w:cs="Times New Roman"/>
          <w:sz w:val="24"/>
          <w:szCs w:val="24"/>
        </w:rPr>
        <w:t>第四章</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响应文件格式</w:t>
      </w:r>
      <w:bookmarkEnd w:id="93"/>
      <w:bookmarkEnd w:id="94"/>
      <w:bookmarkEnd w:id="95"/>
    </w:p>
    <w:p>
      <w:pPr>
        <w:spacing w:line="460" w:lineRule="exact"/>
        <w:ind w:firstLine="480" w:firstLineChars="200"/>
        <w:rPr>
          <w:rFonts w:hint="default" w:ascii="Times New Roman" w:hAnsi="Times New Roman" w:eastAsia="宋体" w:cs="Times New Roman"/>
          <w:sz w:val="24"/>
          <w:szCs w:val="24"/>
          <w:lang w:eastAsia="zh-CN"/>
        </w:rPr>
      </w:pPr>
      <w:bookmarkStart w:id="96" w:name="_Toc20995_WPSOffice_Level1"/>
      <w:bookmarkStart w:id="97" w:name="_Toc22224_WPSOffice_Level2"/>
      <w:bookmarkStart w:id="98" w:name="_Toc30699_WPSOffice_Level2"/>
      <w:r>
        <w:rPr>
          <w:rFonts w:hint="default" w:ascii="Times New Roman" w:hAnsi="Times New Roman" w:eastAsia="宋体" w:cs="Times New Roman"/>
          <w:sz w:val="24"/>
          <w:szCs w:val="24"/>
        </w:rPr>
        <w:t>第五章</w:t>
      </w:r>
      <w:r>
        <w:rPr>
          <w:rFonts w:hint="default" w:ascii="Times New Roman" w:hAnsi="Times New Roman" w:eastAsia="宋体" w:cs="Times New Roman"/>
          <w:sz w:val="24"/>
          <w:szCs w:val="24"/>
          <w:lang w:val="en-US" w:eastAsia="zh-CN"/>
        </w:rPr>
        <w:t xml:space="preserve"> </w:t>
      </w:r>
      <w:bookmarkEnd w:id="96"/>
      <w:bookmarkEnd w:id="97"/>
      <w:bookmarkEnd w:id="98"/>
      <w:r>
        <w:rPr>
          <w:rFonts w:hint="default" w:ascii="Times New Roman" w:hAnsi="Times New Roman" w:eastAsia="宋体" w:cs="Times New Roman"/>
          <w:sz w:val="24"/>
          <w:szCs w:val="24"/>
          <w:lang w:eastAsia="zh-CN"/>
        </w:rPr>
        <w:t>采购需求</w:t>
      </w:r>
    </w:p>
    <w:p>
      <w:pPr>
        <w:spacing w:line="460" w:lineRule="exact"/>
        <w:ind w:firstLine="480" w:firstLineChars="200"/>
        <w:rPr>
          <w:rFonts w:hint="default" w:ascii="Times New Roman" w:hAnsi="Times New Roman" w:eastAsia="宋体" w:cs="Times New Roman"/>
          <w:sz w:val="24"/>
          <w:szCs w:val="24"/>
        </w:rPr>
      </w:pPr>
      <w:bookmarkStart w:id="99" w:name="_Toc6428_WPSOffice_Level1"/>
      <w:bookmarkStart w:id="100" w:name="_Toc13234_WPSOffice_Level2"/>
      <w:bookmarkStart w:id="101" w:name="_Toc7113_WPSOffice_Level2"/>
      <w:r>
        <w:rPr>
          <w:rFonts w:hint="default" w:ascii="Times New Roman" w:hAnsi="Times New Roman" w:eastAsia="宋体" w:cs="Times New Roman"/>
          <w:sz w:val="24"/>
          <w:szCs w:val="24"/>
        </w:rPr>
        <w:t>第六章</w:t>
      </w:r>
      <w:bookmarkEnd w:id="99"/>
      <w:bookmarkEnd w:id="100"/>
      <w:bookmarkEnd w:id="101"/>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评审办法</w:t>
      </w:r>
    </w:p>
    <w:p>
      <w:pPr>
        <w:spacing w:line="460" w:lineRule="exact"/>
        <w:ind w:firstLine="480" w:firstLineChars="200"/>
        <w:rPr>
          <w:rFonts w:hint="default" w:ascii="Times New Roman" w:hAnsi="Times New Roman" w:eastAsia="宋体" w:cs="Times New Roman"/>
          <w:sz w:val="24"/>
          <w:szCs w:val="24"/>
        </w:rPr>
      </w:pPr>
      <w:bookmarkStart w:id="102" w:name="_Toc27416"/>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谈判文件的澄清</w:t>
      </w:r>
      <w:bookmarkEnd w:id="102"/>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供应商应认真审核第五章“</w:t>
      </w:r>
      <w:r>
        <w:rPr>
          <w:rFonts w:hint="eastAsia" w:ascii="Times New Roman" w:hAnsi="Times New Roman" w:eastAsia="宋体" w:cs="Times New Roman"/>
          <w:sz w:val="24"/>
          <w:szCs w:val="24"/>
          <w:lang w:eastAsia="zh-CN"/>
        </w:rPr>
        <w:t>采购需求</w:t>
      </w:r>
      <w:r>
        <w:rPr>
          <w:rFonts w:hint="default" w:ascii="Times New Roman" w:hAnsi="Times New Roman" w:eastAsia="宋体" w:cs="Times New Roman"/>
          <w:sz w:val="24"/>
          <w:szCs w:val="24"/>
        </w:rPr>
        <w:t>”中的要求，如发现</w:t>
      </w:r>
      <w:r>
        <w:rPr>
          <w:rFonts w:hint="eastAsia" w:ascii="Times New Roman" w:hAnsi="Times New Roman" w:eastAsia="宋体" w:cs="Times New Roman"/>
          <w:sz w:val="24"/>
          <w:szCs w:val="24"/>
          <w:lang w:eastAsia="zh-CN"/>
        </w:rPr>
        <w:t>要求</w:t>
      </w:r>
      <w:r>
        <w:rPr>
          <w:rFonts w:hint="default" w:ascii="Times New Roman" w:hAnsi="Times New Roman" w:eastAsia="宋体" w:cs="Times New Roman"/>
          <w:sz w:val="24"/>
          <w:szCs w:val="24"/>
        </w:rPr>
        <w:t>有误或要求不合理的，供应商必须在“供应商须知前附表”规定截止时间前以书面形式（加盖公章）要求采购单位澄清，截止时间后送达的澄清要求概不接受，由此产生的后果由供应商自行负责。</w:t>
      </w:r>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采购单位将以书面或网上发布公告形式（发布媒体详见</w:t>
      </w:r>
      <w:r>
        <w:rPr>
          <w:rFonts w:hint="eastAsia" w:ascii="Times New Roman" w:hAnsi="Times New Roman" w:eastAsia="宋体" w:cs="Times New Roman"/>
          <w:sz w:val="24"/>
          <w:szCs w:val="24"/>
          <w:lang w:val="en-US" w:eastAsia="zh-CN"/>
        </w:rPr>
        <w:t>采购</w:t>
      </w:r>
      <w:r>
        <w:rPr>
          <w:rFonts w:hint="default" w:ascii="Times New Roman" w:hAnsi="Times New Roman" w:eastAsia="宋体" w:cs="Times New Roman"/>
          <w:sz w:val="24"/>
          <w:szCs w:val="24"/>
        </w:rPr>
        <w:t>公告）答复所有报名的供应商（答复中不包含问题的来源）要求澄清的问题，其他澄清方式无效。</w:t>
      </w:r>
    </w:p>
    <w:p>
      <w:pPr>
        <w:spacing w:line="460" w:lineRule="exact"/>
        <w:ind w:firstLine="480" w:firstLineChars="200"/>
        <w:rPr>
          <w:rFonts w:hint="default" w:ascii="Times New Roman" w:hAnsi="Times New Roman" w:eastAsia="宋体" w:cs="Times New Roman"/>
          <w:sz w:val="24"/>
          <w:szCs w:val="24"/>
        </w:rPr>
      </w:pPr>
      <w:bookmarkStart w:id="103" w:name="_Toc29711"/>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谈判文件的修改</w:t>
      </w:r>
      <w:bookmarkEnd w:id="103"/>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采购单位对已发出的谈判文件进行必要澄清或者修改的，于谈判文件要求提交响应文件截止时间3个工作日前，在指定采购信息发布媒体（发布媒体详见</w:t>
      </w:r>
      <w:r>
        <w:rPr>
          <w:rFonts w:hint="eastAsia" w:ascii="Times New Roman" w:hAnsi="Times New Roman" w:eastAsia="宋体" w:cs="Times New Roman"/>
          <w:sz w:val="24"/>
          <w:szCs w:val="24"/>
          <w:lang w:val="en-US" w:eastAsia="zh-CN"/>
        </w:rPr>
        <w:t>采购</w:t>
      </w:r>
      <w:r>
        <w:rPr>
          <w:rFonts w:hint="default" w:ascii="Times New Roman" w:hAnsi="Times New Roman" w:eastAsia="宋体" w:cs="Times New Roman"/>
          <w:sz w:val="24"/>
          <w:szCs w:val="24"/>
        </w:rPr>
        <w:t>公告）上发布澄清公告。该澄清或者修改的内容为谈判文件的组成部分。</w:t>
      </w:r>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澄清或者修改的内容可能影响响应文件编制的，采购单位于提交首次响应文件截止之日3个工作日前，以书面形式通知所有获取谈判文件的潜在供应商；不足3个工作日的，顺延提交响应文件的截止时间。</w:t>
      </w:r>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采购单位对谈判文件中的采购需求、评审办法、评审项目等重要评审内容做出变更，将同时发布补遗文件进行说明以保证各供应商都能重新下载并用于编制电子响应文件。</w:t>
      </w:r>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供应商在收到采购单位书面答疑和澄清后，请自行登录</w:t>
      </w:r>
      <w:r>
        <w:rPr>
          <w:rFonts w:hint="default" w:ascii="Times New Roman" w:hAnsi="Times New Roman" w:eastAsia="宋体" w:cs="Times New Roman"/>
          <w:sz w:val="24"/>
          <w:szCs w:val="24"/>
          <w:lang w:val="zh-CN"/>
        </w:rPr>
        <w:t>楚雄医药高等专科学校</w:t>
      </w:r>
      <w:r>
        <w:rPr>
          <w:rFonts w:hint="eastAsia" w:ascii="Times New Roman" w:hAnsi="Times New Roman" w:eastAsia="宋体" w:cs="Times New Roman"/>
          <w:sz w:val="24"/>
          <w:szCs w:val="24"/>
          <w:lang w:val="en-US" w:eastAsia="zh-CN"/>
        </w:rPr>
        <w:t>保卫处</w:t>
      </w:r>
      <w:r>
        <w:rPr>
          <w:rFonts w:hint="default" w:ascii="Times New Roman" w:hAnsi="Times New Roman" w:eastAsia="宋体" w:cs="Times New Roman"/>
          <w:sz w:val="24"/>
          <w:szCs w:val="24"/>
          <w:lang w:val="zh-CN"/>
        </w:rPr>
        <w:t>招标</w:t>
      </w:r>
      <w:r>
        <w:rPr>
          <w:rFonts w:hint="eastAsia" w:ascii="Times New Roman" w:hAnsi="Times New Roman" w:eastAsia="宋体" w:cs="Times New Roman"/>
          <w:sz w:val="24"/>
          <w:szCs w:val="24"/>
          <w:lang w:val="en-US" w:eastAsia="zh-CN"/>
        </w:rPr>
        <w:t>信息</w:t>
      </w:r>
      <w:r>
        <w:rPr>
          <w:rFonts w:hint="default" w:ascii="Times New Roman" w:hAnsi="Times New Roman" w:eastAsia="宋体" w:cs="Times New Roman"/>
          <w:sz w:val="24"/>
          <w:szCs w:val="24"/>
          <w:lang w:val="zh-CN"/>
        </w:rPr>
        <w:t>栏</w:t>
      </w:r>
      <w:r>
        <w:rPr>
          <w:rFonts w:hint="default" w:ascii="Times New Roman" w:hAnsi="Times New Roman" w:eastAsia="宋体" w:cs="Times New Roman"/>
          <w:sz w:val="24"/>
          <w:szCs w:val="24"/>
        </w:rPr>
        <w:t>收取修改内容。供应商应在截标时间前随时查看指定采购信息发布媒体（发布媒体详见</w:t>
      </w:r>
      <w:r>
        <w:rPr>
          <w:rFonts w:hint="eastAsia" w:ascii="Times New Roman" w:hAnsi="Times New Roman" w:eastAsia="宋体" w:cs="Times New Roman"/>
          <w:sz w:val="24"/>
          <w:szCs w:val="24"/>
          <w:lang w:val="en-US" w:eastAsia="zh-CN"/>
        </w:rPr>
        <w:t>采购</w:t>
      </w:r>
      <w:r>
        <w:rPr>
          <w:rFonts w:hint="default" w:ascii="Times New Roman" w:hAnsi="Times New Roman" w:eastAsia="宋体" w:cs="Times New Roman"/>
          <w:sz w:val="24"/>
          <w:szCs w:val="24"/>
        </w:rPr>
        <w:t>公告）中有关该项目谈判文件的答疑、补遗内容。</w:t>
      </w:r>
    </w:p>
    <w:p>
      <w:pPr>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谈判文件澄清、谈判文件修改文件内容均以网上发布的文件为准，当谈判文件、谈判文件澄清、谈判文件修改文件内容前后相互矛盾时，以最后发出的为准。</w:t>
      </w:r>
    </w:p>
    <w:p>
      <w:pPr>
        <w:widowControl w:val="0"/>
        <w:tabs>
          <w:tab w:val="center" w:pos="4422"/>
        </w:tabs>
        <w:adjustRightInd w:val="0"/>
        <w:snapToGrid w:val="0"/>
        <w:spacing w:before="120" w:beforeLines="50" w:line="360" w:lineRule="auto"/>
        <w:ind w:firstLine="352" w:firstLineChars="147"/>
        <w:jc w:val="both"/>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4、偏离</w:t>
      </w:r>
      <w:r>
        <w:rPr>
          <w:rFonts w:hint="default" w:ascii="Times New Roman" w:hAnsi="Times New Roman" w:eastAsia="宋体" w:cs="Times New Roman"/>
          <w:kern w:val="2"/>
          <w:sz w:val="24"/>
          <w:szCs w:val="24"/>
          <w:lang w:val="en-US" w:eastAsia="zh-CN" w:bidi="ar-SA"/>
        </w:rPr>
        <w:tab/>
      </w:r>
    </w:p>
    <w:p>
      <w:pPr>
        <w:widowControl/>
        <w:adjustRightInd w:val="0"/>
        <w:snapToGrid w:val="0"/>
        <w:spacing w:before="0" w:beforeAutospacing="0" w:after="0" w:afterAutospacing="0" w:line="360" w:lineRule="auto"/>
        <w:ind w:right="97" w:rightChars="46" w:firstLine="480" w:firstLineChars="200"/>
        <w:jc w:val="both"/>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（1）本条所称偏离为对谈判文件的偏离，即超过、不满足、或不响应谈判文件的要求。偏离分为对谈判文件的实质性要求条款偏离和对谈判文件的一般商务和技术条款（参数）偏离；允许正偏离。</w:t>
      </w:r>
    </w:p>
    <w:p>
      <w:pPr>
        <w:tabs>
          <w:tab w:val="left" w:pos="0"/>
        </w:tabs>
        <w:adjustRightInd w:val="0"/>
        <w:snapToGrid w:val="0"/>
        <w:spacing w:before="120" w:beforeLines="50"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除法律、法规和规章规定外，谈判文件中用“拒绝”、“不接受”、“无效”、“不得”等文字规定或标注“★”符号的条款为实质性要求条款（即重要条款），对其中任何一条的偏离，在评审时将其视为无效响应。未用上述文字规定或符号标注的条款为非实质性要求条款(即一般条款)。</w:t>
      </w:r>
    </w:p>
    <w:p>
      <w:pPr>
        <w:tabs>
          <w:tab w:val="left" w:pos="0"/>
        </w:tabs>
        <w:adjustRightInd w:val="0"/>
        <w:snapToGrid w:val="0"/>
        <w:spacing w:before="120" w:beforeLines="50"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技术规格、参数及要求中的一般商务和技术条款（参数），在超出允许偏离的条款数（最高项数）时，在评审时将其视为无效响应。</w:t>
      </w:r>
    </w:p>
    <w:p>
      <w:pPr>
        <w:tabs>
          <w:tab w:val="left" w:pos="0"/>
        </w:tabs>
        <w:adjustRightInd w:val="0"/>
        <w:snapToGrid w:val="0"/>
        <w:spacing w:before="120" w:beforeLines="50"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本章</w:t>
      </w:r>
      <w:r>
        <w:rPr>
          <w:rFonts w:hint="default" w:ascii="Times New Roman" w:hAnsi="Times New Roman" w:eastAsia="宋体" w:cs="Times New Roman"/>
          <w:sz w:val="24"/>
          <w:szCs w:val="24"/>
          <w:lang w:eastAsia="zh-CN"/>
        </w:rPr>
        <w:t>上一条</w:t>
      </w:r>
      <w:r>
        <w:rPr>
          <w:rFonts w:hint="default" w:ascii="Times New Roman" w:hAnsi="Times New Roman" w:eastAsia="宋体" w:cs="Times New Roman"/>
          <w:sz w:val="24"/>
          <w:szCs w:val="24"/>
          <w:lang w:val="zh-CN"/>
        </w:rPr>
        <w:t>款</w:t>
      </w:r>
      <w:r>
        <w:rPr>
          <w:rFonts w:hint="default" w:ascii="Times New Roman" w:hAnsi="Times New Roman" w:eastAsia="宋体" w:cs="Times New Roman"/>
          <w:sz w:val="24"/>
          <w:szCs w:val="24"/>
        </w:rPr>
        <w:t>所称条款数最高项数为</w:t>
      </w:r>
      <w:r>
        <w:rPr>
          <w:rFonts w:hint="default" w:ascii="Times New Roman" w:hAnsi="Times New Roman" w:eastAsia="宋体" w:cs="Times New Roman"/>
          <w:sz w:val="24"/>
          <w:szCs w:val="24"/>
          <w:u w:val="single"/>
        </w:rPr>
        <w:t xml:space="preserve"> 0 </w:t>
      </w:r>
      <w:r>
        <w:rPr>
          <w:rFonts w:hint="default" w:ascii="Times New Roman" w:hAnsi="Times New Roman" w:eastAsia="宋体" w:cs="Times New Roman"/>
          <w:sz w:val="24"/>
          <w:szCs w:val="24"/>
        </w:rPr>
        <w:t>项。</w:t>
      </w:r>
    </w:p>
    <w:p>
      <w:pPr>
        <w:pStyle w:val="5"/>
        <w:bidi w:val="0"/>
        <w:rPr>
          <w:rFonts w:hint="default" w:ascii="Times New Roman" w:hAnsi="Times New Roman" w:eastAsia="宋体" w:cs="Times New Roman"/>
          <w:lang w:val="en-US" w:eastAsia="zh-CN"/>
        </w:rPr>
      </w:pPr>
      <w:bookmarkStart w:id="104" w:name="_Toc5386"/>
      <w:bookmarkStart w:id="105" w:name="_Toc26127_WPSOffice_Level2"/>
      <w:bookmarkStart w:id="106" w:name="_Toc23972_WPSOffice_Level1"/>
      <w:bookmarkStart w:id="107" w:name="_Toc22665"/>
      <w:bookmarkStart w:id="108" w:name="_Toc60996679"/>
      <w:bookmarkStart w:id="109" w:name="_Toc22352_WPSOffice_Level1"/>
      <w:bookmarkStart w:id="110" w:name="_三、投标文件的编制"/>
      <w:r>
        <w:rPr>
          <w:rFonts w:hint="default" w:ascii="Times New Roman" w:hAnsi="Times New Roman" w:eastAsia="宋体" w:cs="Times New Roman"/>
          <w:lang w:val="en-US" w:eastAsia="zh-CN"/>
        </w:rPr>
        <w:t>2.3 响应文件的编制</w:t>
      </w:r>
      <w:bookmarkEnd w:id="104"/>
      <w:bookmarkEnd w:id="105"/>
      <w:bookmarkEnd w:id="106"/>
      <w:bookmarkEnd w:id="107"/>
      <w:bookmarkEnd w:id="108"/>
      <w:bookmarkEnd w:id="109"/>
    </w:p>
    <w:bookmarkEnd w:id="110"/>
    <w:p>
      <w:pPr>
        <w:spacing w:line="460" w:lineRule="exact"/>
        <w:ind w:firstLine="480" w:firstLineChars="200"/>
        <w:rPr>
          <w:rFonts w:hint="default" w:ascii="Times New Roman" w:hAnsi="Times New Roman" w:eastAsia="宋体" w:cs="Times New Roman"/>
          <w:sz w:val="24"/>
        </w:rPr>
      </w:pPr>
      <w:bookmarkStart w:id="111" w:name="_Toc609"/>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响应文件构成</w:t>
      </w:r>
      <w:bookmarkEnd w:id="111"/>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供应商同时投多个包（若分包时）的，响应文件应按包分别编制，按供应商应按第四章“响应文件格式”要求的格式完整地填写。</w:t>
      </w:r>
    </w:p>
    <w:p>
      <w:pPr>
        <w:spacing w:line="460" w:lineRule="exact"/>
        <w:ind w:firstLine="480" w:firstLineChars="200"/>
        <w:rPr>
          <w:rFonts w:hint="default" w:ascii="Times New Roman" w:hAnsi="Times New Roman" w:eastAsia="宋体" w:cs="Times New Roman"/>
          <w:sz w:val="24"/>
        </w:rPr>
      </w:pPr>
      <w:bookmarkStart w:id="112" w:name="_Toc8444"/>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投标报价</w:t>
      </w:r>
      <w:bookmarkEnd w:id="112"/>
    </w:p>
    <w:p>
      <w:pPr>
        <w:spacing w:line="460" w:lineRule="exact"/>
        <w:ind w:firstLine="480" w:firstLineChars="200"/>
        <w:rPr>
          <w:rFonts w:hint="default" w:ascii="Times New Roman" w:hAnsi="Times New Roman" w:eastAsia="宋体" w:cs="Times New Roman"/>
          <w:sz w:val="24"/>
        </w:rPr>
      </w:pPr>
      <w:bookmarkStart w:id="113" w:name="_Toc32040"/>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供应商应按谈判文件规定的要求和范围，以人民币进行报价。</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除规定允许提交备选方案外，供应商对每种货物及服务只允许有一个报价，不接受选择性报价，否则，在评审时将其视为无效响应报价。</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供应商的报价不得超过采购项目预算。</w:t>
      </w:r>
    </w:p>
    <w:bookmarkEnd w:id="113"/>
    <w:p>
      <w:pPr>
        <w:spacing w:line="460" w:lineRule="exact"/>
        <w:ind w:firstLine="480" w:firstLineChars="200"/>
        <w:rPr>
          <w:rFonts w:hint="default" w:ascii="Times New Roman" w:hAnsi="Times New Roman" w:eastAsia="宋体" w:cs="Times New Roman"/>
          <w:sz w:val="24"/>
        </w:rPr>
      </w:pPr>
      <w:bookmarkStart w:id="114" w:name="_Toc17723"/>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投标有效期</w:t>
      </w:r>
      <w:bookmarkEnd w:id="114"/>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响应文件有效期为60日历天，在此期间响应文件对供应商具有法律约束力，响应文件有效期从规定的递交响应文件截止时间起计算。响应文件有效期不足的将被视为无效响应。</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因特殊情况需要延长投标有效期的，采购人以书面形式通知所有供应商延长投标有效期。供应商同意延长的，应相应延长其谈判保证金的有效期，但不得要求或被允许修改或撤销其响应文件；供应商拒绝延长的，其投标失效，但供应商有权收回其谈判保证金。</w:t>
      </w:r>
    </w:p>
    <w:p>
      <w:pPr>
        <w:spacing w:line="460" w:lineRule="exact"/>
        <w:ind w:firstLine="480" w:firstLineChars="200"/>
        <w:rPr>
          <w:rFonts w:hint="default" w:ascii="Times New Roman" w:hAnsi="Times New Roman" w:eastAsia="宋体" w:cs="Times New Roman"/>
          <w:sz w:val="24"/>
        </w:rPr>
      </w:pPr>
      <w:bookmarkStart w:id="115" w:name="_Toc18796"/>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响应文件的签署要求</w:t>
      </w:r>
      <w:bookmarkEnd w:id="115"/>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响应文件的签章和签名要求：按照响应文件格式，响应文件需要企业、法定代表人签章及签名。</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因复印、扫描、拍摄模糊，字迹潦草，表达不清，未按要求填写而导致非唯一理解，造成未实质性响应谈判文件的响应文件将会被认定为无效的投标。</w:t>
      </w:r>
    </w:p>
    <w:p>
      <w:pPr>
        <w:spacing w:line="460" w:lineRule="exact"/>
        <w:ind w:firstLine="480" w:firstLineChars="200"/>
        <w:rPr>
          <w:rFonts w:hint="default" w:ascii="Times New Roman" w:hAnsi="Times New Roman" w:eastAsia="宋体" w:cs="Times New Roman"/>
          <w:sz w:val="24"/>
        </w:rPr>
      </w:pPr>
      <w:bookmarkStart w:id="116" w:name="_Toc4359"/>
      <w:r>
        <w:rPr>
          <w:rFonts w:hint="default" w:ascii="Times New Roman" w:hAnsi="Times New Roman" w:eastAsia="宋体" w:cs="Times New Roman"/>
          <w:sz w:val="24"/>
          <w:lang w:val="en-US" w:eastAsia="zh-CN"/>
        </w:rPr>
        <w:t>5、</w:t>
      </w:r>
      <w:r>
        <w:rPr>
          <w:rFonts w:hint="default" w:ascii="Times New Roman" w:hAnsi="Times New Roman" w:eastAsia="宋体" w:cs="Times New Roman"/>
          <w:sz w:val="24"/>
        </w:rPr>
        <w:t>谈判保证金</w:t>
      </w:r>
      <w:bookmarkEnd w:id="116"/>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谈判保证金为人民币，供应商应在递交响应文件截止时间以前按“供应商须知前附表”规定的方式及金额交纳谈判保证金，并在投标有效期内保持有效。</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未成交供应商的保证金，未成交供应商的保证金在评标结束后当场退还。成交供应商的保证金，自采购合同签订完毕并按规定办理合同归档手续后5个工作日内，无息退还至供应商。</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有下列情形之一的，谈判保证金不予退还：</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1）供应商在提交响应文件截止时间后撤回响应文件的；</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2）供应商在响应文件中提供虚假材料的；</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3）除因不可抗力或谈判文件认可的情形以外，成交供应商不与采购人签订合同的；</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4）供应商与采购人、其他供应商或者采购代理机构恶意串通的；</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5）谈判文件规定的其他情形。</w:t>
      </w:r>
    </w:p>
    <w:p>
      <w:pPr>
        <w:pStyle w:val="5"/>
        <w:bidi w:val="0"/>
        <w:rPr>
          <w:rFonts w:hint="default" w:ascii="Times New Roman" w:hAnsi="Times New Roman" w:eastAsia="宋体" w:cs="Times New Roman"/>
          <w:lang w:val="en-US" w:eastAsia="zh-CN"/>
        </w:rPr>
      </w:pPr>
      <w:bookmarkStart w:id="117" w:name="_Toc16736"/>
      <w:bookmarkStart w:id="118" w:name="_Toc29601"/>
      <w:bookmarkStart w:id="119" w:name="_Toc17346_WPSOffice_Level1"/>
      <w:bookmarkStart w:id="120" w:name="_Toc60996680"/>
      <w:bookmarkStart w:id="121" w:name="_Toc25217_WPSOffice_Level2"/>
      <w:bookmarkStart w:id="122" w:name="_Toc19285_WPSOffice_Level1"/>
      <w:bookmarkStart w:id="123" w:name="_四、投标文件的提交"/>
      <w:r>
        <w:rPr>
          <w:rFonts w:hint="default" w:ascii="Times New Roman" w:hAnsi="Times New Roman" w:eastAsia="宋体" w:cs="Times New Roman"/>
          <w:lang w:val="en-US" w:eastAsia="zh-CN"/>
        </w:rPr>
        <w:t>2.4 响应文件的提交</w:t>
      </w:r>
      <w:bookmarkEnd w:id="117"/>
      <w:bookmarkEnd w:id="118"/>
      <w:bookmarkEnd w:id="119"/>
      <w:bookmarkEnd w:id="120"/>
      <w:bookmarkEnd w:id="121"/>
      <w:bookmarkEnd w:id="122"/>
    </w:p>
    <w:bookmarkEnd w:id="123"/>
    <w:p>
      <w:pPr>
        <w:spacing w:line="460" w:lineRule="exact"/>
        <w:ind w:firstLine="480" w:firstLineChars="200"/>
        <w:rPr>
          <w:rFonts w:hint="default" w:ascii="Times New Roman" w:hAnsi="Times New Roman" w:eastAsia="宋体" w:cs="Times New Roman"/>
          <w:sz w:val="24"/>
        </w:rPr>
      </w:pPr>
      <w:bookmarkStart w:id="124" w:name="_Toc20426"/>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响应文件的密封与提交</w:t>
      </w:r>
      <w:bookmarkEnd w:id="124"/>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申请文件的装订要求：申请文件的正本与副本应分别装订成册，密封于一个包内，不得采用活页夹。申请文件应编制目录，并且逐页标注连续页码，否则，采购人对由于申请文件装订松散而造成的丢失或其他后果不承担任何责任。</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在申请文件密封袋上应：写明项目名称；注明下列识别标志：</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1）谈判项目编号；</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2）（项目名称）申请文件；</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3）供应商名称（盖章）；</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4）法定代表人或其委托代理人（签字）；</w:t>
      </w:r>
    </w:p>
    <w:p>
      <w:pPr>
        <w:spacing w:line="460" w:lineRule="exact"/>
        <w:ind w:firstLine="720" w:firstLineChars="3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5）202</w:t>
      </w:r>
      <w:r>
        <w:rPr>
          <w:rFonts w:hint="eastAsia" w:ascii="Times New Roman" w:hAnsi="Times New Roman" w:eastAsia="宋体" w:cs="Times New Roman"/>
          <w:sz w:val="24"/>
          <w:highlight w:val="none"/>
          <w:lang w:val="en-US" w:eastAsia="zh-CN"/>
        </w:rPr>
        <w:t>2</w:t>
      </w:r>
      <w:r>
        <w:rPr>
          <w:rFonts w:hint="default"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hint="default"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23</w:t>
      </w:r>
      <w:r>
        <w:rPr>
          <w:rFonts w:hint="default" w:ascii="Times New Roman" w:hAnsi="Times New Roman" w:eastAsia="宋体" w:cs="Times New Roman"/>
          <w:sz w:val="24"/>
          <w:highlight w:val="none"/>
        </w:rPr>
        <w:t>日</w:t>
      </w:r>
      <w:r>
        <w:rPr>
          <w:rFonts w:hint="eastAsia" w:ascii="Times New Roman" w:hAnsi="Times New Roman" w:eastAsia="宋体" w:cs="Times New Roman"/>
          <w:sz w:val="24"/>
          <w:highlight w:val="none"/>
          <w:lang w:val="en-US" w:eastAsia="zh-CN"/>
        </w:rPr>
        <w:t>上</w:t>
      </w:r>
      <w:r>
        <w:rPr>
          <w:rFonts w:hint="default" w:ascii="Times New Roman" w:hAnsi="Times New Roman" w:eastAsia="宋体" w:cs="Times New Roman"/>
          <w:sz w:val="24"/>
          <w:highlight w:val="none"/>
        </w:rPr>
        <w:t>午</w:t>
      </w:r>
      <w:r>
        <w:rPr>
          <w:rFonts w:hint="eastAsia" w:ascii="Times New Roman" w:hAnsi="Times New Roman" w:eastAsia="宋体" w:cs="Times New Roman"/>
          <w:sz w:val="24"/>
          <w:highlight w:val="none"/>
          <w:lang w:val="en-US" w:eastAsia="zh-CN"/>
        </w:rPr>
        <w:t>09</w:t>
      </w:r>
      <w:r>
        <w:rPr>
          <w:rFonts w:hint="default" w:ascii="Times New Roman" w:hAnsi="Times New Roman" w:eastAsia="宋体" w:cs="Times New Roman"/>
          <w:sz w:val="24"/>
          <w:highlight w:val="none"/>
          <w:lang w:val="en-US" w:eastAsia="zh-CN"/>
        </w:rPr>
        <w:t>点</w:t>
      </w:r>
      <w:r>
        <w:rPr>
          <w:rFonts w:hint="default" w:ascii="Times New Roman" w:hAnsi="Times New Roman" w:eastAsia="宋体" w:cs="Times New Roman"/>
          <w:sz w:val="24"/>
          <w:highlight w:val="none"/>
        </w:rPr>
        <w:t>30</w:t>
      </w:r>
      <w:r>
        <w:rPr>
          <w:rFonts w:hint="default" w:ascii="Times New Roman" w:hAnsi="Times New Roman" w:eastAsia="宋体" w:cs="Times New Roman"/>
          <w:sz w:val="24"/>
          <w:highlight w:val="none"/>
          <w:lang w:eastAsia="zh-CN"/>
        </w:rPr>
        <w:t>分</w:t>
      </w:r>
      <w:r>
        <w:rPr>
          <w:rFonts w:hint="default" w:ascii="Times New Roman" w:hAnsi="Times New Roman" w:eastAsia="宋体" w:cs="Times New Roman"/>
          <w:sz w:val="24"/>
          <w:highlight w:val="none"/>
        </w:rPr>
        <w:t>竞争性谈判</w:t>
      </w:r>
      <w:r>
        <w:rPr>
          <w:rFonts w:hint="default" w:ascii="Times New Roman" w:hAnsi="Times New Roman" w:eastAsia="宋体" w:cs="Times New Roman"/>
          <w:sz w:val="24"/>
          <w:highlight w:val="none"/>
          <w:lang w:eastAsia="zh-CN"/>
        </w:rPr>
        <w:t>开始</w:t>
      </w:r>
      <w:r>
        <w:rPr>
          <w:rFonts w:hint="default" w:ascii="Times New Roman" w:hAnsi="Times New Roman" w:eastAsia="宋体" w:cs="Times New Roman"/>
          <w:sz w:val="24"/>
          <w:highlight w:val="none"/>
        </w:rPr>
        <w:t>，此时间以前不得开封。</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如果申请文件没有按本谈判须知</w:t>
      </w:r>
      <w:r>
        <w:rPr>
          <w:rFonts w:hint="default" w:ascii="Times New Roman" w:hAnsi="Times New Roman" w:eastAsia="宋体" w:cs="Times New Roman"/>
          <w:sz w:val="24"/>
          <w:lang w:eastAsia="zh-CN"/>
        </w:rPr>
        <w:t>有关条</w:t>
      </w:r>
      <w:r>
        <w:rPr>
          <w:rFonts w:hint="default" w:ascii="Times New Roman" w:hAnsi="Times New Roman" w:eastAsia="宋体" w:cs="Times New Roman"/>
          <w:sz w:val="24"/>
        </w:rPr>
        <w:t>款的规定装订和加写标记及密封，采购人将不承担申请文件提前开封的责任。对由此造成提前开封的申请文件将予以拒绝，并退还给供应商。</w:t>
      </w:r>
    </w:p>
    <w:p>
      <w:pPr>
        <w:spacing w:line="460" w:lineRule="exact"/>
        <w:ind w:firstLine="480" w:firstLineChars="200"/>
        <w:rPr>
          <w:rFonts w:hint="eastAsia" w:ascii="宋体" w:hAnsi="宋体" w:eastAsia="宋体" w:cs="宋体"/>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所有申请文件的外层密封的封口处应加盖密封章。</w:t>
      </w:r>
    </w:p>
    <w:p>
      <w:pPr>
        <w:pStyle w:val="5"/>
        <w:bidi w:val="0"/>
        <w:rPr>
          <w:rFonts w:hint="default" w:ascii="Times New Roman" w:hAnsi="Times New Roman" w:eastAsia="宋体" w:cs="Times New Roman"/>
          <w:lang w:val="en-US" w:eastAsia="zh-CN"/>
        </w:rPr>
      </w:pPr>
      <w:bookmarkStart w:id="125" w:name="_Toc17391"/>
      <w:bookmarkStart w:id="126" w:name="_Toc29874"/>
      <w:bookmarkStart w:id="127" w:name="_Toc69565538"/>
      <w:r>
        <w:rPr>
          <w:rFonts w:hint="default" w:ascii="Times New Roman" w:hAnsi="Times New Roman" w:eastAsia="宋体" w:cs="Times New Roman"/>
          <w:lang w:val="en-US" w:eastAsia="zh-CN"/>
        </w:rPr>
        <w:t>2.5 响应文件开启</w:t>
      </w:r>
      <w:bookmarkEnd w:id="125"/>
      <w:bookmarkEnd w:id="126"/>
      <w:bookmarkEnd w:id="127"/>
    </w:p>
    <w:p>
      <w:pPr>
        <w:widowControl w:val="0"/>
        <w:adjustRightInd w:val="0"/>
        <w:spacing w:line="440" w:lineRule="exact"/>
        <w:ind w:firstLine="480" w:firstLineChars="200"/>
        <w:jc w:val="both"/>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1、开启</w:t>
      </w:r>
    </w:p>
    <w:p>
      <w:pPr>
        <w:adjustRightInd w:val="0"/>
        <w:spacing w:line="440" w:lineRule="exact"/>
        <w:ind w:firstLine="460" w:firstLineChars="192"/>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采购人按本须知前附表所规定的时间和地点开始谈判，并邀请所有供应商参加，供应商法定代表人或授权代理人必须到谈判现场。</w:t>
      </w:r>
    </w:p>
    <w:p>
      <w:pPr>
        <w:adjustRightInd w:val="0"/>
        <w:spacing w:line="440" w:lineRule="exact"/>
        <w:ind w:firstLine="460" w:firstLineChars="192"/>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谈判程序</w:t>
      </w:r>
    </w:p>
    <w:p>
      <w:pPr>
        <w:adjustRightInd w:val="0"/>
        <w:spacing w:line="440" w:lineRule="exact"/>
        <w:ind w:firstLine="700" w:firstLineChars="292"/>
        <w:rPr>
          <w:rFonts w:hint="default" w:ascii="Times New Roman" w:hAnsi="Times New Roman" w:eastAsia="宋体" w:cs="Times New Roman"/>
          <w:sz w:val="24"/>
        </w:rPr>
      </w:pPr>
      <w:r>
        <w:rPr>
          <w:rFonts w:hint="default" w:ascii="Times New Roman" w:hAnsi="Times New Roman" w:eastAsia="宋体" w:cs="Times New Roman"/>
          <w:sz w:val="24"/>
        </w:rPr>
        <w:t>1）谈判会议由楚雄医药高等专科学校招标采购工作人员主持，所有供应商应准时参加。</w:t>
      </w:r>
    </w:p>
    <w:p>
      <w:pPr>
        <w:adjustRightInd w:val="0"/>
        <w:spacing w:line="440" w:lineRule="exact"/>
        <w:ind w:firstLine="700" w:firstLineChars="292"/>
        <w:rPr>
          <w:rFonts w:hint="default" w:ascii="Times New Roman" w:hAnsi="Times New Roman" w:eastAsia="宋体" w:cs="Times New Roman"/>
          <w:sz w:val="24"/>
        </w:rPr>
      </w:pPr>
      <w:r>
        <w:rPr>
          <w:rFonts w:hint="default" w:ascii="Times New Roman" w:hAnsi="Times New Roman" w:eastAsia="宋体" w:cs="Times New Roman"/>
          <w:sz w:val="24"/>
        </w:rPr>
        <w:t>2）宣布谈判纪律</w:t>
      </w:r>
    </w:p>
    <w:p>
      <w:pPr>
        <w:adjustRightInd w:val="0"/>
        <w:spacing w:line="440" w:lineRule="exact"/>
        <w:ind w:firstLine="700" w:firstLineChars="292"/>
        <w:rPr>
          <w:rFonts w:hint="default" w:ascii="Times New Roman" w:hAnsi="Times New Roman" w:eastAsia="宋体" w:cs="Times New Roman"/>
          <w:sz w:val="24"/>
        </w:rPr>
      </w:pPr>
      <w:r>
        <w:rPr>
          <w:rFonts w:hint="default" w:ascii="Times New Roman" w:hAnsi="Times New Roman" w:eastAsia="宋体" w:cs="Times New Roman"/>
          <w:sz w:val="24"/>
        </w:rPr>
        <w:t>3）宣布参会单位及代表</w:t>
      </w:r>
    </w:p>
    <w:p>
      <w:pPr>
        <w:adjustRightInd w:val="0"/>
        <w:spacing w:line="440" w:lineRule="exact"/>
        <w:ind w:firstLine="700" w:firstLineChars="292"/>
        <w:rPr>
          <w:rFonts w:hint="default" w:ascii="Times New Roman" w:hAnsi="Times New Roman" w:eastAsia="宋体" w:cs="Times New Roman"/>
          <w:sz w:val="24"/>
        </w:rPr>
      </w:pPr>
      <w:r>
        <w:rPr>
          <w:rFonts w:hint="default" w:ascii="Times New Roman" w:hAnsi="Times New Roman" w:eastAsia="宋体" w:cs="Times New Roman"/>
          <w:sz w:val="24"/>
        </w:rPr>
        <w:t>4）采购人公布采购控制价</w:t>
      </w:r>
    </w:p>
    <w:p>
      <w:pPr>
        <w:adjustRightInd w:val="0"/>
        <w:spacing w:line="440" w:lineRule="exact"/>
        <w:ind w:firstLine="700" w:firstLineChars="292"/>
        <w:rPr>
          <w:rFonts w:hint="default" w:ascii="Times New Roman" w:hAnsi="Times New Roman" w:eastAsia="宋体" w:cs="Times New Roman"/>
          <w:sz w:val="24"/>
        </w:rPr>
      </w:pPr>
      <w:r>
        <w:rPr>
          <w:rFonts w:hint="default" w:ascii="Times New Roman" w:hAnsi="Times New Roman" w:eastAsia="宋体" w:cs="Times New Roman"/>
          <w:sz w:val="24"/>
        </w:rPr>
        <w:t>5）申请文件密封检查顺序：按照所有供应商的递交顺序对申请文件进行密封检查。</w:t>
      </w:r>
    </w:p>
    <w:p>
      <w:pPr>
        <w:adjustRightInd w:val="0"/>
        <w:spacing w:line="440" w:lineRule="exact"/>
        <w:ind w:firstLine="460" w:firstLineChars="192"/>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采购人将在“供应商须知前附表”规定的时间和地点进行谈判，供应商的法定代表人或其委托代理人应参加谈判会，如供应商未出席谈判会由此产生的后果由供应商自行负责。</w:t>
      </w:r>
    </w:p>
    <w:p>
      <w:pPr>
        <w:adjustRightInd w:val="0"/>
        <w:spacing w:line="440" w:lineRule="exact"/>
        <w:ind w:firstLine="460" w:firstLineChars="192"/>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谈判工作人员将做谈判记录，供应商对须签字确认。</w:t>
      </w:r>
    </w:p>
    <w:p>
      <w:pPr>
        <w:adjustRightInd w:val="0"/>
        <w:spacing w:line="440" w:lineRule="exact"/>
        <w:ind w:firstLine="460" w:firstLineChars="192"/>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5</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供应商对谈判有异议的，应当在谈判现场提出，采购人应当当场作出答复，并制作记录。</w:t>
      </w:r>
    </w:p>
    <w:p>
      <w:pPr>
        <w:pStyle w:val="5"/>
        <w:bidi w:val="0"/>
        <w:rPr>
          <w:rFonts w:hint="default" w:ascii="Times New Roman" w:hAnsi="Times New Roman" w:eastAsia="宋体" w:cs="Times New Roman"/>
        </w:rPr>
      </w:pPr>
      <w:bookmarkStart w:id="128" w:name="_Toc8689"/>
      <w:r>
        <w:rPr>
          <w:rFonts w:hint="default" w:ascii="Times New Roman" w:hAnsi="Times New Roman" w:eastAsia="宋体" w:cs="Times New Roman"/>
          <w:lang w:val="en-US" w:eastAsia="zh-CN"/>
        </w:rPr>
        <w:t xml:space="preserve">2.6 </w:t>
      </w:r>
      <w:r>
        <w:rPr>
          <w:rFonts w:hint="default" w:ascii="Times New Roman" w:hAnsi="Times New Roman" w:eastAsia="宋体" w:cs="Times New Roman"/>
        </w:rPr>
        <w:t>响应文件的评审与谈判</w:t>
      </w:r>
      <w:bookmarkEnd w:id="128"/>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谈判小组组建</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采购人与集采机构将根据采购项目的特点依法组建谈判小组，其成员由评审专家和采购人代表共3人以上单数组成，其中评审专家人数不得少于竞争性谈判小组成员总数的2/3。谈判小组负责对供应商资格进行核查；对响应文件进行审查；谈判、对报价进行评价以及推荐或确定成交供应商。</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谈判小组成员与供应商存在利害关系的，应当回避。</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评审</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评审原则</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评审活动遵循公平、公正、科学和择优的原则。</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评审程序</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供应商的资格审查</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谈判小组依据法律法规和谈判文件的规定，对响应文件中的资格证明文件等进行审查，以确定投标供应商是否具备投标资格。供应商不满足资格条件的，在评审时将其视为无效响应。</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谈判小组可以要求供应商提交有关证明和证件的原件以便核验。</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响应文件的符合性审查</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谈判小组按照谈判文件的规定，从响应文件的有效性、完整性和对谈判文件的响应程度进行审查，以确定是否对谈判文件的实质性要求作出响应。</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谈判</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1）谈判小组应当通过随机方式确定参加谈判供应商的谈判顺序，谈判小组所有成员集中与单一供应商分别进行谈判。谈判小组将给予所有参加谈判的供应商相同的谈判机会。谈判小组将谈判轮数公开告知参加谈判的供应商。</w:t>
      </w:r>
    </w:p>
    <w:p>
      <w:pPr>
        <w:widowControl w:val="0"/>
        <w:jc w:val="both"/>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0"/>
          <w:sz w:val="24"/>
          <w:szCs w:val="24"/>
          <w:lang w:val="en-US" w:eastAsia="zh-CN" w:bidi="ar-SA"/>
        </w:rPr>
        <w:t xml:space="preserve">    2）</w:t>
      </w:r>
      <w:r>
        <w:rPr>
          <w:rFonts w:hint="default" w:ascii="Times New Roman" w:hAnsi="Times New Roman" w:eastAsia="宋体" w:cs="Times New Roman"/>
          <w:kern w:val="2"/>
          <w:sz w:val="24"/>
          <w:szCs w:val="24"/>
          <w:lang w:val="en-US" w:eastAsia="zh-CN" w:bidi="ar-SA"/>
        </w:rPr>
        <w:t>谈判内容</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谈判内容主要包括：针对本项目的技术、服务要求以及合同草案条款等；谈判文件不能详细列明采购标的的技术、服务要求的，需经谈判由供应商提供最终设计方案或解决方案；其它需要谈判的事项。</w:t>
      </w:r>
    </w:p>
    <w:p>
      <w:pPr>
        <w:numPr>
          <w:ilvl w:val="0"/>
          <w:numId w:val="0"/>
        </w:num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谈判程序</w:t>
      </w:r>
    </w:p>
    <w:p>
      <w:pPr>
        <w:spacing w:line="460" w:lineRule="exact"/>
        <w:ind w:firstLine="420" w:firstLineChars="200"/>
        <w:rPr>
          <w:rFonts w:hint="default" w:ascii="Times New Roman" w:hAnsi="Times New Roman" w:eastAsia="宋体" w:cs="Times New Roman"/>
          <w:sz w:val="24"/>
        </w:rPr>
      </w:pPr>
      <w:r>
        <w:rPr>
          <w:rFonts w:hint="default" w:ascii="Times New Roman" w:hAnsi="Times New Roman" w:eastAsia="宋体" w:cs="Times New Roman"/>
        </w:rPr>
        <w:t xml:space="preserve">   </w:t>
      </w:r>
      <w:r>
        <w:rPr>
          <w:rFonts w:hint="default" w:ascii="Times New Roman" w:hAnsi="Times New Roman" w:eastAsia="宋体" w:cs="Times New Roman"/>
          <w:sz w:val="24"/>
        </w:rPr>
        <w:t>第一阶段谈判：</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①符合《政府采购法》第三十条第一项、第三项情形的，谈判小组应当对供应商响应文件的符合性审查，直接与实质性响应谈判文件要求的供应商就价格进行谈判。在最后一轮谈判结束后，谈判小组将要求所有仍在参加谈判的供应商在同一截止时间前进行最后报价。最后报价由其法定代表人或其委托代理人签字后密封递交给谈判小组。</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②符合《政府采购法》第三十条第二项、第四项情形的，在谈判过程中，谈判小组应逐步明确采购需求，确定技术标准和要求，完善合同内容。谈判小组可以根据谈判文件和谈判情况实质性变动采购需求中的技术、服务要求以及合同草案条款，进行第二阶段谈判，但不得变动谈判文件中的其他内容。实质性变动的内容，须经采购人代表确认。谈判文件的实质性变动内容为谈判文件的组成部分，实质性变动内容与谈判文件不一致时，以实质性变动内容为准。</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第二阶段谈判：</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①谈判小组应要求所有参加第一阶段谈判的供应商以对其响应文件进行修正的方式，对谈判文件的实质性变动作出响应。在最后一轮谈判结束后，应当要求在谈判结束后同一截止时间前递交修正的响应文件和最后报价。供应商未按谈判小组规定递交的，视同在谈判开始之日后撤回响应文件。修正的响应文件和最后报价由其法定代表人或其委托代理人签字后递交给谈判小组。修正的响应文件为响应文件的组成部分。修正的响应文件与响应文件不一致时，以修正的响应文件为准。</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②在第二阶段谈判过程中，不能确定成交结果的，谈判终止，采购人重新开展采购活动。</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最后报价</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谈判小组可根据供应商的报价，响应内容及谈判的情况，要求各供应商分别进行不超过二轮报价，最后一轮谈判结束后，参加谈判的供应商应当对谈判的承诺和最后报价以书面形式确认，并由法定代表人或其授权委托人签署生效。最后报价是供应商响应文件的有效组成部分。</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响应文件的澄清</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谈判小组在对响应文件的有效性、完整性和响应程度进行审查时，可以要求供应商对响应文件中含义不明确、同类问题表述不一致或者有明显文字和计算错误的内容等作出必要的澄清、说明或者纠正。该要求应当以书面形式作出。供应商的澄清、说明或者补正应当采用书面形式，由其法定代表人或其委托代理人签字。供应商的澄清、说明或者更正不得超出谈判文件的范围或者改变响应文件的实质性内容。</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响应文件如果出现计算或表达上的错误，按照下列规定修正：</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1）响应文件中开标一览表（报价表）内容与响应文件中相应内容不一致的，以开标一览表（报价表）为准。</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2）大写金额和小写金额不一致的，以大写金额为准；</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3）单价金额小数点或者百分比有明显错位的，以开标一览表的总价为准，并修改单价；</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4）总价金额与按单价汇总金额不一致的，以单价金额计算结果为准；</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5）对不同文字文本响应文件的解释发生异议的，以中文文本为准；</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6）同时出现两种以上不一致的，按照前款规定的顺序修正。按上述规定修正后的报价经供应商确认后对供应商起约束作用。如果供应商不确认修正后的报价，则其投标无效。</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供应商应按谈判小组通知的时间、地点，指派专人进行澄清、说明或者补正。</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5、</w:t>
      </w:r>
      <w:r>
        <w:rPr>
          <w:rFonts w:hint="default" w:ascii="Times New Roman" w:hAnsi="Times New Roman" w:eastAsia="宋体" w:cs="Times New Roman"/>
          <w:sz w:val="24"/>
        </w:rPr>
        <w:t>推荐或确定成交供应商</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谈判小组依据谈判文件及供应商响应文件和最后报价，从产品质量和服务均能满足谈判文件规定的最低要求供应商中，按政府采购政策优惠的规定，确定供应商的评审报价，按照经评审后的报价由低到高的顺序推荐成交候选供应商。</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6、</w:t>
      </w:r>
      <w:r>
        <w:rPr>
          <w:rFonts w:hint="default" w:ascii="Times New Roman" w:hAnsi="Times New Roman" w:eastAsia="宋体" w:cs="Times New Roman"/>
          <w:sz w:val="24"/>
        </w:rPr>
        <w:t>谈判的特殊情形</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递交响应文件的供应商不足三家的，不予谈判，除采购任务取消外，如谈判文件没有不合理条款，发布项目延期公告，延长三个工作日，延长期满后，仍不足三家的，继续进入谈判程序。</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对谈判文件作出实质性响应的供应商不足三家但达到二家的，谈判小组认为继续谈判能够引起充分竞争且技术上满足谈判文件要求、报价低于预算，可比照财政部《货物和服务招标投标管理办法》第43条规定，经谈判小组出具书面意见并签字认可，报经政府采购管理部门同意，通知供应商当场继续采用竞争性谈判；对谈判文件作出实质性响应的供应商只有一家的，予以废标，重新组织采购活动。</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项目经延期或重新组织采购后，对谈判文件作出实质性响应的供应商仍只有一家的，经谈判小组出具书面意见并签字认可，报经政府采购管理部门同意，改为其他方式采购。</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7、</w:t>
      </w:r>
      <w:r>
        <w:rPr>
          <w:rFonts w:hint="default" w:ascii="Times New Roman" w:hAnsi="Times New Roman" w:eastAsia="宋体" w:cs="Times New Roman"/>
          <w:sz w:val="24"/>
        </w:rPr>
        <w:t>谈判终止</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谈判时，出现下列情况之一，本次谈判终止：</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1）符合专业条件的供应商或者对谈判文件作实质响应的供应商不足3家的；</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2）出现影响采购公正的违法、违规行为的；</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3）供应商的最终报价均超过采购项目预算；</w:t>
      </w:r>
    </w:p>
    <w:p>
      <w:pPr>
        <w:spacing w:line="460" w:lineRule="exact"/>
        <w:ind w:firstLine="720" w:firstLineChars="300"/>
        <w:rPr>
          <w:rFonts w:hint="default" w:ascii="Times New Roman" w:hAnsi="Times New Roman" w:eastAsia="宋体" w:cs="Times New Roman"/>
          <w:sz w:val="24"/>
        </w:rPr>
      </w:pPr>
      <w:r>
        <w:rPr>
          <w:rFonts w:hint="default" w:ascii="Times New Roman" w:hAnsi="Times New Roman" w:eastAsia="宋体" w:cs="Times New Roman"/>
          <w:sz w:val="24"/>
        </w:rPr>
        <w:t>4）因重大变故，采购任务取消的。</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谈判小组应将谈判终止理由通知所有参与谈判的供应商。</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8、</w:t>
      </w:r>
      <w:r>
        <w:rPr>
          <w:rFonts w:hint="default" w:ascii="Times New Roman" w:hAnsi="Times New Roman" w:eastAsia="宋体" w:cs="Times New Roman"/>
          <w:sz w:val="24"/>
        </w:rPr>
        <w:t>保密要求</w:t>
      </w:r>
    </w:p>
    <w:p>
      <w:pPr>
        <w:spacing w:line="460" w:lineRule="exact"/>
        <w:ind w:firstLine="480" w:firstLineChars="200"/>
        <w:rPr>
          <w:rFonts w:hint="eastAsia" w:ascii="宋体" w:hAnsi="宋体" w:eastAsia="宋体" w:cs="宋体"/>
          <w:sz w:val="24"/>
        </w:rPr>
      </w:pPr>
      <w:r>
        <w:rPr>
          <w:rFonts w:hint="default" w:ascii="Times New Roman" w:hAnsi="Times New Roman" w:eastAsia="宋体" w:cs="Times New Roman"/>
          <w:sz w:val="24"/>
        </w:rPr>
        <w:t>谈判小组成员以及与评审工作有关的人员对评审情况以及评审过程中获悉的国家秘密、商业秘密负有保密责任。开标后，直到授予中标人合同止，凡是属于审查、澄清、评审和比较的有关资料以及授标建议等均不得向供应商或其他无关的人员透露。应当保密。</w:t>
      </w:r>
    </w:p>
    <w:p>
      <w:pPr>
        <w:pStyle w:val="5"/>
        <w:bidi w:val="0"/>
        <w:rPr>
          <w:rFonts w:hint="default" w:ascii="Times New Roman" w:hAnsi="Times New Roman" w:eastAsia="宋体" w:cs="Times New Roman"/>
          <w:lang w:val="en-US" w:eastAsia="zh-CN"/>
        </w:rPr>
      </w:pPr>
      <w:bookmarkStart w:id="129" w:name="_Toc18616"/>
      <w:bookmarkStart w:id="130" w:name="_Toc13327"/>
      <w:bookmarkStart w:id="131" w:name="_Toc60996682"/>
      <w:bookmarkStart w:id="132" w:name="_Toc12853_WPSOffice_Level1"/>
      <w:bookmarkStart w:id="133" w:name="_Toc20995_WPSOffice_Level2"/>
      <w:bookmarkStart w:id="134" w:name="_六、中标结果"/>
      <w:r>
        <w:rPr>
          <w:rFonts w:hint="default" w:ascii="Times New Roman" w:hAnsi="Times New Roman" w:eastAsia="宋体" w:cs="Times New Roman"/>
          <w:lang w:val="en-US" w:eastAsia="zh-CN"/>
        </w:rPr>
        <w:t>2.7 成交结果</w:t>
      </w:r>
      <w:bookmarkEnd w:id="129"/>
      <w:bookmarkEnd w:id="130"/>
      <w:bookmarkEnd w:id="131"/>
      <w:bookmarkEnd w:id="132"/>
      <w:bookmarkEnd w:id="133"/>
    </w:p>
    <w:bookmarkEnd w:id="134"/>
    <w:p>
      <w:pPr>
        <w:spacing w:line="460" w:lineRule="exact"/>
        <w:ind w:firstLine="480" w:firstLineChars="200"/>
        <w:rPr>
          <w:rFonts w:hint="default" w:ascii="Times New Roman" w:hAnsi="Times New Roman" w:eastAsia="宋体" w:cs="Times New Roman"/>
          <w:sz w:val="24"/>
        </w:rPr>
      </w:pPr>
      <w:bookmarkStart w:id="135" w:name="_Toc7601"/>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成交供应商的确定</w:t>
      </w:r>
      <w:bookmarkEnd w:id="135"/>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采购人应当自收到评审报告之日起5个工作日内，在评审报告提出的成交候选人中，根据质量和服务均能满足谈判文件实质性响应要求且最后报价最低的原则确定成交供应商，也可以书面授权谈判小组直接确定成交供应商。</w:t>
      </w:r>
    </w:p>
    <w:p>
      <w:pPr>
        <w:spacing w:line="460" w:lineRule="exact"/>
        <w:ind w:firstLine="480" w:firstLineChars="200"/>
        <w:rPr>
          <w:rFonts w:hint="default" w:ascii="Times New Roman" w:hAnsi="Times New Roman" w:eastAsia="宋体" w:cs="Times New Roman"/>
          <w:sz w:val="24"/>
        </w:rPr>
      </w:pPr>
      <w:bookmarkStart w:id="136" w:name="_Toc25957"/>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成交通知书</w:t>
      </w:r>
      <w:bookmarkEnd w:id="136"/>
    </w:p>
    <w:p>
      <w:pPr>
        <w:widowControl w:val="0"/>
        <w:adjustRightInd w:val="0"/>
        <w:snapToGrid w:val="0"/>
        <w:spacing w:before="120" w:beforeLines="50" w:line="360" w:lineRule="auto"/>
        <w:ind w:firstLine="480" w:firstLineChars="200"/>
        <w:jc w:val="both"/>
        <w:rPr>
          <w:rFonts w:hint="default" w:ascii="Times New Roman" w:hAnsi="Times New Roman" w:eastAsia="宋体" w:cs="Times New Roman"/>
          <w:kern w:val="2"/>
          <w:sz w:val="24"/>
          <w:szCs w:val="20"/>
          <w:lang w:val="en-US" w:eastAsia="zh-CN" w:bidi="ar-SA"/>
        </w:rPr>
      </w:pPr>
      <w:r>
        <w:rPr>
          <w:rFonts w:hint="default" w:ascii="Times New Roman" w:hAnsi="Times New Roman" w:eastAsia="宋体" w:cs="Times New Roman"/>
          <w:kern w:val="2"/>
          <w:sz w:val="24"/>
          <w:szCs w:val="20"/>
          <w:lang w:val="en-US" w:eastAsia="zh-CN" w:bidi="ar-SA"/>
        </w:rPr>
        <w:t>（1）采购人或者采购代理机构应当自成交供应商确定之日起 2 个工作日内，在学校指定的媒体上公告成交结果（发布媒体详见竞争性谈判公告），在公告成交结果的同时，采购人或者采购代理机构应当向成交供应商发出成交通知书。成交通知书对采购人和成交供应商具有同等法律效力。</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成交通知书是合同的一个组成部分。</w:t>
      </w:r>
    </w:p>
    <w:p>
      <w:pPr>
        <w:spacing w:line="460" w:lineRule="exact"/>
        <w:ind w:firstLine="480" w:firstLineChars="200"/>
        <w:rPr>
          <w:rFonts w:hint="default" w:ascii="Times New Roman" w:hAnsi="Times New Roman" w:eastAsia="宋体" w:cs="Times New Roman"/>
          <w:sz w:val="24"/>
        </w:rPr>
      </w:pPr>
      <w:bookmarkStart w:id="137" w:name="_Toc2208"/>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合同的签订</w:t>
      </w:r>
      <w:bookmarkEnd w:id="137"/>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采购人应当自成交通知书发出之日起 30 日内，按照谈判文件和成交供应商响应文件的规定，与成交供应商签订书面合同。所签订的合同不得对谈判文件确定的事项和成交供应商响应文件作实质性修改。</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采购人不得向成交供应商提出任何不合理的要求作为签订合同的条件。</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中标或者成交供应商拒绝与采购人签订合同的，采购人可以按照评审报告推荐的中标或者成交候选人名单排序，确定下一候选人为中标或者成交供应商，也可以重新开展政府采购活动。</w:t>
      </w:r>
    </w:p>
    <w:p>
      <w:pPr>
        <w:spacing w:line="460" w:lineRule="exact"/>
        <w:ind w:firstLine="480" w:firstLineChars="200"/>
        <w:rPr>
          <w:rFonts w:hint="default" w:ascii="Times New Roman" w:hAnsi="Times New Roman" w:eastAsia="宋体" w:cs="Times New Roman"/>
          <w:sz w:val="24"/>
        </w:rPr>
      </w:pPr>
      <w:bookmarkStart w:id="138" w:name="_Toc1372"/>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履约保证金</w:t>
      </w:r>
      <w:bookmarkEnd w:id="138"/>
    </w:p>
    <w:p>
      <w:pPr>
        <w:spacing w:line="460" w:lineRule="exact"/>
        <w:ind w:firstLine="480" w:firstLineChars="200"/>
        <w:rPr>
          <w:rFonts w:hint="eastAsia" w:ascii="Times New Roman" w:hAnsi="Times New Roman" w:eastAsia="宋体" w:cs="Times New Roman"/>
          <w:sz w:val="24"/>
          <w:lang w:eastAsia="zh-CN"/>
        </w:rPr>
        <w:sectPr>
          <w:pgSz w:w="11906" w:h="16838"/>
          <w:pgMar w:top="1418" w:right="1134" w:bottom="1134" w:left="1417" w:header="936" w:footer="720" w:gutter="0"/>
          <w:cols w:space="720" w:num="1"/>
          <w:docGrid w:linePitch="331" w:charSpace="0"/>
        </w:sectPr>
      </w:pPr>
      <w:r>
        <w:rPr>
          <w:rFonts w:hint="default" w:ascii="Times New Roman" w:hAnsi="Times New Roman" w:eastAsia="宋体" w:cs="Times New Roman"/>
          <w:sz w:val="24"/>
        </w:rPr>
        <w:t>签订合同前，中标人应按“供应商须知前附表”中确定的履约保证金的金额，向采购人交纳履约保证金，履约保证金的数额不得超过政府采购合同金额的10%</w:t>
      </w:r>
      <w:bookmarkEnd w:id="64"/>
      <w:bookmarkStart w:id="139" w:name="_Toc60996684"/>
      <w:bookmarkStart w:id="140" w:name="_Toc32340_WPSOffice_Level2"/>
      <w:bookmarkStart w:id="141" w:name="_Toc20297_WPSOffice_Level1"/>
      <w:r>
        <w:rPr>
          <w:rFonts w:hint="eastAsia" w:ascii="Times New Roman" w:hAnsi="Times New Roman" w:eastAsia="宋体" w:cs="Times New Roman"/>
          <w:sz w:val="24"/>
          <w:lang w:eastAsia="zh-CN"/>
        </w:rPr>
        <w:t>。</w:t>
      </w:r>
    </w:p>
    <w:p>
      <w:pPr>
        <w:pStyle w:val="4"/>
        <w:bidi w:val="0"/>
        <w:jc w:val="center"/>
        <w:rPr>
          <w:rFonts w:hint="eastAsia" w:ascii="宋体" w:hAnsi="宋体" w:eastAsia="宋体" w:cs="宋体"/>
          <w:b/>
          <w:sz w:val="48"/>
          <w:szCs w:val="48"/>
        </w:rPr>
      </w:pPr>
      <w:bookmarkStart w:id="142" w:name="_Toc28303"/>
      <w:r>
        <w:rPr>
          <w:rFonts w:hint="default" w:ascii="Times New Roman" w:hAnsi="Times New Roman" w:cs="Times New Roman"/>
          <w:lang w:val="en-US" w:eastAsia="zh-CN"/>
        </w:rPr>
        <w:t>第三章</w:t>
      </w:r>
      <w:bookmarkEnd w:id="139"/>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合同书样式</w:t>
      </w:r>
      <w:bookmarkEnd w:id="140"/>
      <w:bookmarkEnd w:id="141"/>
      <w:bookmarkEnd w:id="142"/>
    </w:p>
    <w:p>
      <w:pPr>
        <w:tabs>
          <w:tab w:val="left" w:pos="720"/>
        </w:tabs>
        <w:spacing w:line="360" w:lineRule="auto"/>
        <w:jc w:val="center"/>
        <w:rPr>
          <w:rFonts w:hint="eastAsia" w:ascii="宋体" w:hAnsi="宋体" w:eastAsia="宋体" w:cs="宋体"/>
          <w:b/>
          <w:sz w:val="48"/>
          <w:szCs w:val="48"/>
        </w:rPr>
      </w:pPr>
      <w:r>
        <w:rPr>
          <w:rFonts w:hint="eastAsia" w:ascii="宋体" w:hAnsi="宋体" w:eastAsia="宋体" w:cs="宋体"/>
          <w:b/>
          <w:sz w:val="48"/>
          <w:szCs w:val="48"/>
          <w:lang w:val="en-US" w:eastAsia="zh-CN"/>
        </w:rPr>
        <w:t>楚雄医药高等专科学校人民武装部试点建设物资采购项目</w:t>
      </w:r>
    </w:p>
    <w:p>
      <w:pPr>
        <w:tabs>
          <w:tab w:val="left" w:pos="720"/>
        </w:tabs>
        <w:spacing w:line="360" w:lineRule="auto"/>
        <w:rPr>
          <w:rFonts w:hint="eastAsia" w:ascii="宋体" w:hAnsi="宋体" w:eastAsia="宋体" w:cs="宋体"/>
          <w:b/>
          <w:szCs w:val="21"/>
        </w:rPr>
      </w:pPr>
    </w:p>
    <w:p>
      <w:pPr>
        <w:tabs>
          <w:tab w:val="left" w:pos="720"/>
        </w:tabs>
        <w:spacing w:line="360" w:lineRule="auto"/>
        <w:jc w:val="center"/>
        <w:rPr>
          <w:rFonts w:hint="eastAsia" w:ascii="宋体" w:hAnsi="宋体" w:eastAsia="宋体" w:cs="宋体"/>
          <w:b/>
          <w:sz w:val="48"/>
          <w:szCs w:val="48"/>
        </w:rPr>
      </w:pPr>
      <w:bookmarkStart w:id="143" w:name="_Toc19285_WPSOffice_Level3"/>
      <w:bookmarkStart w:id="144" w:name="_Toc20297_WPSOffice_Level2"/>
      <w:r>
        <w:rPr>
          <w:rFonts w:hint="eastAsia" w:ascii="宋体" w:hAnsi="宋体" w:eastAsia="宋体" w:cs="宋体"/>
          <w:b/>
          <w:sz w:val="48"/>
          <w:szCs w:val="48"/>
        </w:rPr>
        <w:t>合　同　书</w:t>
      </w:r>
      <w:bookmarkEnd w:id="143"/>
      <w:bookmarkEnd w:id="144"/>
    </w:p>
    <w:p>
      <w:pPr>
        <w:tabs>
          <w:tab w:val="left" w:pos="720"/>
        </w:tabs>
        <w:spacing w:line="360" w:lineRule="auto"/>
        <w:jc w:val="center"/>
        <w:rPr>
          <w:rFonts w:hint="eastAsia" w:ascii="宋体" w:hAnsi="宋体" w:eastAsia="宋体" w:cs="宋体"/>
          <w:b/>
          <w:sz w:val="36"/>
          <w:szCs w:val="36"/>
        </w:rPr>
      </w:pPr>
      <w:bookmarkStart w:id="145" w:name="_Toc22115_WPSOffice_Level2"/>
      <w:bookmarkStart w:id="146" w:name="_Toc16744_WPSOffice_Level3"/>
      <w:r>
        <w:rPr>
          <w:rFonts w:hint="eastAsia" w:ascii="宋体" w:hAnsi="宋体" w:eastAsia="宋体" w:cs="宋体"/>
          <w:b/>
          <w:sz w:val="36"/>
          <w:szCs w:val="36"/>
        </w:rPr>
        <w:t>（货物类）</w:t>
      </w:r>
      <w:bookmarkEnd w:id="145"/>
      <w:bookmarkEnd w:id="146"/>
    </w:p>
    <w:p>
      <w:pPr>
        <w:tabs>
          <w:tab w:val="left" w:pos="720"/>
        </w:tabs>
        <w:spacing w:line="360" w:lineRule="auto"/>
        <w:rPr>
          <w:rFonts w:hint="eastAsia" w:ascii="宋体" w:hAnsi="宋体" w:eastAsia="宋体" w:cs="宋体"/>
          <w:b/>
          <w:szCs w:val="21"/>
        </w:rPr>
      </w:pPr>
    </w:p>
    <w:p>
      <w:pPr>
        <w:tabs>
          <w:tab w:val="left" w:pos="720"/>
        </w:tabs>
        <w:spacing w:line="360" w:lineRule="auto"/>
        <w:rPr>
          <w:rFonts w:hint="eastAsia" w:ascii="宋体" w:hAnsi="宋体" w:eastAsia="宋体" w:cs="宋体"/>
          <w:b/>
          <w:szCs w:val="21"/>
        </w:rPr>
      </w:pPr>
    </w:p>
    <w:p>
      <w:pPr>
        <w:tabs>
          <w:tab w:val="left" w:pos="720"/>
        </w:tabs>
        <w:spacing w:line="360" w:lineRule="auto"/>
        <w:rPr>
          <w:rFonts w:hint="eastAsia" w:ascii="宋体" w:hAnsi="宋体" w:eastAsia="宋体" w:cs="宋体"/>
          <w:b/>
          <w:szCs w:val="21"/>
        </w:rPr>
      </w:pPr>
    </w:p>
    <w:p>
      <w:pPr>
        <w:tabs>
          <w:tab w:val="left" w:pos="720"/>
        </w:tabs>
        <w:spacing w:line="360" w:lineRule="auto"/>
        <w:rPr>
          <w:rFonts w:hint="eastAsia" w:ascii="宋体" w:hAnsi="宋体" w:eastAsia="宋体" w:cs="宋体"/>
          <w:b/>
          <w:szCs w:val="21"/>
        </w:rPr>
      </w:pPr>
    </w:p>
    <w:p>
      <w:pPr>
        <w:tabs>
          <w:tab w:val="left" w:pos="720"/>
        </w:tabs>
        <w:spacing w:line="360" w:lineRule="auto"/>
        <w:rPr>
          <w:rFonts w:hint="eastAsia" w:ascii="宋体" w:hAnsi="宋体" w:eastAsia="宋体" w:cs="宋体"/>
          <w:b/>
          <w:szCs w:val="21"/>
        </w:rPr>
      </w:pPr>
    </w:p>
    <w:tbl>
      <w:tblPr>
        <w:tblStyle w:val="15"/>
        <w:tblW w:w="5400" w:type="dxa"/>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noWrap/>
          </w:tcPr>
          <w:p>
            <w:pPr>
              <w:tabs>
                <w:tab w:val="left" w:pos="720"/>
              </w:tabs>
              <w:spacing w:line="360" w:lineRule="auto"/>
              <w:rPr>
                <w:rFonts w:hint="eastAsia" w:ascii="宋体" w:hAnsi="宋体" w:eastAsia="宋体" w:cs="宋体"/>
                <w:b/>
                <w:szCs w:val="21"/>
              </w:rPr>
            </w:pPr>
            <w:r>
              <w:rPr>
                <w:rFonts w:hint="eastAsia" w:ascii="宋体" w:hAnsi="宋体" w:eastAsia="宋体" w:cs="宋体"/>
                <w:b/>
                <w:szCs w:val="21"/>
              </w:rPr>
              <w:t>项目名称：</w:t>
            </w:r>
          </w:p>
        </w:tc>
      </w:tr>
    </w:tbl>
    <w:p>
      <w:pPr>
        <w:tabs>
          <w:tab w:val="left" w:pos="720"/>
        </w:tabs>
        <w:spacing w:line="360" w:lineRule="auto"/>
        <w:rPr>
          <w:rFonts w:hint="eastAsia" w:ascii="宋体" w:hAnsi="宋体" w:eastAsia="宋体" w:cs="宋体"/>
          <w:b/>
          <w:szCs w:val="21"/>
        </w:rPr>
      </w:pPr>
    </w:p>
    <w:p>
      <w:pPr>
        <w:tabs>
          <w:tab w:val="left" w:pos="720"/>
        </w:tabs>
        <w:spacing w:line="360" w:lineRule="auto"/>
        <w:rPr>
          <w:rFonts w:hint="eastAsia" w:ascii="宋体" w:hAnsi="宋体" w:eastAsia="宋体" w:cs="宋体"/>
          <w:b/>
          <w:szCs w:val="21"/>
        </w:rPr>
      </w:pPr>
    </w:p>
    <w:tbl>
      <w:tblPr>
        <w:tblStyle w:val="15"/>
        <w:tblW w:w="5400" w:type="dxa"/>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noWrap/>
          </w:tcPr>
          <w:p>
            <w:pPr>
              <w:tabs>
                <w:tab w:val="left" w:pos="720"/>
              </w:tabs>
              <w:spacing w:line="360" w:lineRule="auto"/>
              <w:rPr>
                <w:rFonts w:hint="eastAsia" w:ascii="宋体" w:hAnsi="宋体" w:eastAsia="宋体" w:cs="宋体"/>
                <w:b/>
                <w:szCs w:val="21"/>
                <w:u w:val="single"/>
              </w:rPr>
            </w:pPr>
            <w:r>
              <w:rPr>
                <w:rFonts w:hint="eastAsia" w:ascii="宋体" w:hAnsi="宋体" w:eastAsia="宋体" w:cs="宋体"/>
                <w:b/>
                <w:szCs w:val="21"/>
              </w:rPr>
              <w:t>采购项目编号：</w:t>
            </w:r>
          </w:p>
        </w:tc>
      </w:tr>
      <w:tr>
        <w:tblPrEx>
          <w:tblCellMar>
            <w:top w:w="0" w:type="dxa"/>
            <w:left w:w="108" w:type="dxa"/>
            <w:bottom w:w="0" w:type="dxa"/>
            <w:right w:w="108" w:type="dxa"/>
          </w:tblCellMar>
        </w:tblPrEx>
        <w:trPr>
          <w:trHeight w:val="446" w:hRule="atLeast"/>
          <w:jc w:val="center"/>
        </w:trPr>
        <w:tc>
          <w:tcPr>
            <w:tcW w:w="5400" w:type="dxa"/>
            <w:noWrap/>
          </w:tcPr>
          <w:p>
            <w:pPr>
              <w:tabs>
                <w:tab w:val="left" w:pos="720"/>
              </w:tabs>
              <w:spacing w:line="360" w:lineRule="auto"/>
              <w:rPr>
                <w:rFonts w:hint="eastAsia" w:ascii="宋体" w:hAnsi="宋体" w:eastAsia="宋体" w:cs="宋体"/>
                <w:b/>
                <w:szCs w:val="21"/>
                <w:u w:val="single"/>
              </w:rPr>
            </w:pPr>
          </w:p>
        </w:tc>
      </w:tr>
      <w:tr>
        <w:tblPrEx>
          <w:tblCellMar>
            <w:top w:w="0" w:type="dxa"/>
            <w:left w:w="108" w:type="dxa"/>
            <w:bottom w:w="0" w:type="dxa"/>
            <w:right w:w="108" w:type="dxa"/>
          </w:tblCellMar>
        </w:tblPrEx>
        <w:trPr>
          <w:trHeight w:val="446" w:hRule="atLeast"/>
          <w:jc w:val="center"/>
        </w:trPr>
        <w:tc>
          <w:tcPr>
            <w:tcW w:w="5400" w:type="dxa"/>
            <w:noWrap/>
          </w:tcPr>
          <w:p>
            <w:pPr>
              <w:tabs>
                <w:tab w:val="left" w:pos="720"/>
              </w:tabs>
              <w:spacing w:line="360" w:lineRule="auto"/>
              <w:rPr>
                <w:rFonts w:hint="eastAsia" w:ascii="宋体" w:hAnsi="宋体" w:eastAsia="宋体" w:cs="宋体"/>
                <w:b/>
                <w:szCs w:val="21"/>
              </w:rPr>
            </w:pPr>
          </w:p>
        </w:tc>
      </w:tr>
      <w:tr>
        <w:tblPrEx>
          <w:tblCellMar>
            <w:top w:w="0" w:type="dxa"/>
            <w:left w:w="108" w:type="dxa"/>
            <w:bottom w:w="0" w:type="dxa"/>
            <w:right w:w="108" w:type="dxa"/>
          </w:tblCellMar>
        </w:tblPrEx>
        <w:trPr>
          <w:trHeight w:val="460" w:hRule="atLeast"/>
          <w:jc w:val="center"/>
        </w:trPr>
        <w:tc>
          <w:tcPr>
            <w:tcW w:w="5400" w:type="dxa"/>
            <w:noWrap/>
          </w:tcPr>
          <w:p>
            <w:pPr>
              <w:tabs>
                <w:tab w:val="left" w:pos="720"/>
              </w:tabs>
              <w:spacing w:line="360" w:lineRule="auto"/>
              <w:rPr>
                <w:rFonts w:hint="eastAsia" w:ascii="宋体" w:hAnsi="宋体" w:eastAsia="宋体" w:cs="宋体"/>
                <w:b/>
                <w:szCs w:val="21"/>
              </w:rPr>
            </w:pPr>
          </w:p>
        </w:tc>
      </w:tr>
    </w:tbl>
    <w:p>
      <w:pPr>
        <w:spacing w:line="360" w:lineRule="auto"/>
        <w:rPr>
          <w:rFonts w:hint="eastAsia" w:ascii="宋体" w:hAnsi="宋体" w:eastAsia="宋体" w:cs="宋体"/>
          <w:szCs w:val="21"/>
        </w:rPr>
      </w:pPr>
    </w:p>
    <w:p>
      <w:pPr>
        <w:spacing w:line="360" w:lineRule="auto"/>
        <w:rPr>
          <w:rFonts w:hint="eastAsia" w:ascii="宋体" w:hAnsi="宋体" w:eastAsia="宋体" w:cs="宋体"/>
          <w:b/>
          <w:szCs w:val="21"/>
        </w:rPr>
      </w:pPr>
      <w:r>
        <w:rPr>
          <w:rFonts w:hint="eastAsia" w:ascii="宋体" w:hAnsi="宋体" w:eastAsia="宋体" w:cs="宋体"/>
          <w:b/>
          <w:szCs w:val="21"/>
        </w:rPr>
        <w:t>注：本合同仅为合同的参考文本，合同签订双方可根据项目的具体要求进行修订。</w:t>
      </w:r>
    </w:p>
    <w:p>
      <w:pPr>
        <w:adjustRightInd w:val="0"/>
        <w:snapToGrid w:val="0"/>
        <w:spacing w:before="120" w:beforeLines="50" w:line="360" w:lineRule="auto"/>
        <w:rPr>
          <w:rFonts w:hint="eastAsia" w:ascii="宋体" w:hAnsi="宋体" w:eastAsia="宋体" w:cs="宋体"/>
          <w:b/>
          <w:szCs w:val="21"/>
        </w:rPr>
      </w:pPr>
    </w:p>
    <w:p>
      <w:pPr>
        <w:pStyle w:val="2"/>
        <w:rPr>
          <w:rFonts w:hint="eastAsia" w:ascii="宋体" w:hAnsi="宋体" w:eastAsia="宋体" w:cs="宋体"/>
          <w:b/>
          <w:szCs w:val="21"/>
        </w:rPr>
      </w:pPr>
    </w:p>
    <w:p>
      <w:pPr>
        <w:pStyle w:val="2"/>
        <w:rPr>
          <w:rFonts w:hint="eastAsia" w:ascii="宋体" w:hAnsi="宋体" w:eastAsia="宋体" w:cs="宋体"/>
          <w:b/>
          <w:szCs w:val="21"/>
        </w:rPr>
        <w:sectPr>
          <w:pgSz w:w="11906" w:h="16838"/>
          <w:pgMar w:top="1418" w:right="1134" w:bottom="1134" w:left="1417" w:header="936" w:footer="720" w:gutter="0"/>
          <w:cols w:space="720" w:num="1"/>
          <w:docGrid w:linePitch="331" w:charSpace="0"/>
        </w:sectPr>
      </w:pPr>
    </w:p>
    <w:p>
      <w:pPr>
        <w:adjustRightInd w:val="0"/>
        <w:snapToGrid w:val="0"/>
        <w:spacing w:before="120" w:beforeLines="50"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采购人（全称）：（甲方）</w:t>
      </w:r>
    </w:p>
    <w:p>
      <w:pPr>
        <w:adjustRightInd w:val="0"/>
        <w:snapToGrid w:val="0"/>
        <w:spacing w:before="120" w:beforeLines="50"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供应商（全称）：（乙方）</w:t>
      </w:r>
    </w:p>
    <w:p>
      <w:pPr>
        <w:spacing w:line="360" w:lineRule="auto"/>
        <w:ind w:firstLine="484" w:firstLineChars="202"/>
        <w:rPr>
          <w:rFonts w:hint="eastAsia" w:ascii="宋体" w:hAnsi="宋体" w:eastAsia="宋体" w:cs="宋体"/>
          <w:szCs w:val="21"/>
        </w:rPr>
      </w:pPr>
      <w:r>
        <w:rPr>
          <w:rFonts w:hint="default" w:ascii="Times New Roman" w:hAnsi="Times New Roman" w:eastAsia="宋体" w:cs="Times New Roman"/>
          <w:sz w:val="24"/>
          <w:szCs w:val="24"/>
        </w:rPr>
        <w:t>根据</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项目的采购结果，按照《中华人民共和国政府采购法》《</w:t>
      </w:r>
      <w:r>
        <w:rPr>
          <w:rFonts w:hint="eastAsia" w:ascii="Times New Roman" w:hAnsi="Times New Roman" w:eastAsia="宋体" w:cs="Times New Roman"/>
          <w:sz w:val="24"/>
          <w:szCs w:val="24"/>
          <w:lang w:val="en-US" w:eastAsia="zh-CN"/>
        </w:rPr>
        <w:t>民法典</w:t>
      </w:r>
      <w:r>
        <w:rPr>
          <w:rFonts w:hint="default" w:ascii="Times New Roman" w:hAnsi="Times New Roman" w:eastAsia="宋体" w:cs="Times New Roman"/>
          <w:sz w:val="24"/>
          <w:szCs w:val="24"/>
        </w:rPr>
        <w:t>》的规定，</w:t>
      </w:r>
      <w:r>
        <w:rPr>
          <w:rFonts w:hint="default" w:ascii="Times New Roman" w:hAnsi="Times New Roman" w:eastAsia="宋体" w:cs="Times New Roman"/>
          <w:kern w:val="28"/>
          <w:sz w:val="24"/>
          <w:szCs w:val="24"/>
        </w:rPr>
        <w:t>经双方协商，</w:t>
      </w:r>
      <w:r>
        <w:rPr>
          <w:rFonts w:hint="default" w:ascii="Times New Roman" w:hAnsi="Times New Roman" w:eastAsia="宋体" w:cs="Times New Roman"/>
          <w:sz w:val="24"/>
          <w:szCs w:val="24"/>
        </w:rPr>
        <w:t>本着平等互利和诚实信用的原则，</w:t>
      </w:r>
      <w:r>
        <w:rPr>
          <w:rFonts w:hint="default" w:ascii="Times New Roman" w:hAnsi="Times New Roman" w:eastAsia="宋体" w:cs="Times New Roman"/>
          <w:kern w:val="28"/>
          <w:sz w:val="24"/>
          <w:szCs w:val="24"/>
        </w:rPr>
        <w:t>一致同意签订本合同如下。</w:t>
      </w:r>
    </w:p>
    <w:p>
      <w:pPr>
        <w:spacing w:line="360" w:lineRule="auto"/>
        <w:rPr>
          <w:rFonts w:hint="eastAsia" w:ascii="宋体" w:hAnsi="宋体" w:eastAsia="宋体" w:cs="宋体"/>
          <w:b/>
          <w:sz w:val="24"/>
          <w:szCs w:val="24"/>
        </w:rPr>
      </w:pPr>
      <w:bookmarkStart w:id="147" w:name="_Toc12853_WPSOffice_Level3"/>
      <w:bookmarkStart w:id="148" w:name="_Toc8111_WPSOffice_Level2"/>
      <w:r>
        <w:rPr>
          <w:rFonts w:hint="eastAsia" w:ascii="宋体" w:hAnsi="宋体" w:eastAsia="宋体" w:cs="宋体"/>
          <w:b/>
          <w:sz w:val="24"/>
          <w:szCs w:val="24"/>
        </w:rPr>
        <w:t>一、货物内容</w:t>
      </w:r>
      <w:bookmarkEnd w:id="147"/>
      <w:bookmarkEnd w:id="148"/>
    </w:p>
    <w:tbl>
      <w:tblPr>
        <w:tblStyle w:val="15"/>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3150"/>
        <w:gridCol w:w="1260"/>
        <w:gridCol w:w="90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tcBorders>
              <w:left w:val="single" w:color="auto" w:sz="8" w:space="0"/>
            </w:tcBorders>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155" w:type="dxa"/>
            <w:tcBorders>
              <w:left w:val="single" w:color="auto" w:sz="8" w:space="0"/>
            </w:tcBorders>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商品名称</w:t>
            </w:r>
          </w:p>
        </w:tc>
        <w:tc>
          <w:tcPr>
            <w:tcW w:w="3150" w:type="dxa"/>
            <w:tcBorders>
              <w:bottom w:val="single" w:color="auto" w:sz="8" w:space="0"/>
            </w:tcBorders>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品牌、规格型号、配置（性能参数）</w:t>
            </w:r>
          </w:p>
        </w:tc>
        <w:tc>
          <w:tcPr>
            <w:tcW w:w="1260" w:type="dxa"/>
            <w:tcBorders>
              <w:bottom w:val="single" w:color="auto" w:sz="8" w:space="0"/>
            </w:tcBorders>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产地</w:t>
            </w:r>
          </w:p>
        </w:tc>
        <w:tc>
          <w:tcPr>
            <w:tcW w:w="900" w:type="dxa"/>
            <w:tcBorders>
              <w:bottom w:val="single" w:color="auto" w:sz="8" w:space="0"/>
            </w:tcBorders>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数量</w:t>
            </w:r>
          </w:p>
        </w:tc>
        <w:tc>
          <w:tcPr>
            <w:tcW w:w="1080" w:type="dxa"/>
            <w:tcBorders>
              <w:bottom w:val="nil"/>
              <w:right w:val="single" w:color="auto" w:sz="8" w:space="0"/>
            </w:tcBorders>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单价(元)</w:t>
            </w:r>
          </w:p>
        </w:tc>
        <w:tc>
          <w:tcPr>
            <w:tcW w:w="1080" w:type="dxa"/>
            <w:tcBorders>
              <w:bottom w:val="nil"/>
              <w:right w:val="single" w:color="auto" w:sz="8" w:space="0"/>
            </w:tcBorders>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tcBorders>
              <w:left w:val="single" w:color="auto" w:sz="8" w:space="0"/>
            </w:tcBorders>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155" w:type="dxa"/>
            <w:tcBorders>
              <w:left w:val="single" w:color="auto" w:sz="8" w:space="0"/>
            </w:tcBorders>
            <w:noWrap/>
            <w:vAlign w:val="center"/>
          </w:tcPr>
          <w:p>
            <w:pPr>
              <w:rPr>
                <w:rFonts w:hint="default" w:ascii="Times New Roman" w:hAnsi="Times New Roman" w:eastAsia="宋体" w:cs="Times New Roman"/>
                <w:sz w:val="21"/>
                <w:szCs w:val="21"/>
              </w:rPr>
            </w:pPr>
          </w:p>
        </w:tc>
        <w:tc>
          <w:tcPr>
            <w:tcW w:w="3150" w:type="dxa"/>
            <w:noWrap/>
            <w:vAlign w:val="center"/>
          </w:tcPr>
          <w:p>
            <w:pPr>
              <w:rPr>
                <w:rFonts w:hint="default" w:ascii="Times New Roman" w:hAnsi="Times New Roman" w:eastAsia="宋体" w:cs="Times New Roman"/>
                <w:sz w:val="21"/>
                <w:szCs w:val="21"/>
              </w:rPr>
            </w:pPr>
          </w:p>
        </w:tc>
        <w:tc>
          <w:tcPr>
            <w:tcW w:w="1260" w:type="dxa"/>
            <w:tcBorders>
              <w:bottom w:val="single" w:color="auto" w:sz="8" w:space="0"/>
            </w:tcBorders>
            <w:noWrap/>
            <w:vAlign w:val="center"/>
          </w:tcPr>
          <w:p>
            <w:pPr>
              <w:rPr>
                <w:rFonts w:hint="default" w:ascii="Times New Roman" w:hAnsi="Times New Roman" w:eastAsia="宋体" w:cs="Times New Roman"/>
                <w:sz w:val="21"/>
                <w:szCs w:val="21"/>
              </w:rPr>
            </w:pPr>
          </w:p>
        </w:tc>
        <w:tc>
          <w:tcPr>
            <w:tcW w:w="900" w:type="dxa"/>
            <w:tcBorders>
              <w:bottom w:val="single" w:color="auto" w:sz="8" w:space="0"/>
            </w:tcBorders>
            <w:noWrap/>
            <w:vAlign w:val="center"/>
          </w:tcPr>
          <w:p>
            <w:pPr>
              <w:rPr>
                <w:rFonts w:hint="default" w:ascii="Times New Roman" w:hAnsi="Times New Roman" w:eastAsia="宋体" w:cs="Times New Roman"/>
                <w:sz w:val="21"/>
                <w:szCs w:val="21"/>
              </w:rPr>
            </w:pPr>
          </w:p>
        </w:tc>
        <w:tc>
          <w:tcPr>
            <w:tcW w:w="1080" w:type="dxa"/>
            <w:tcBorders>
              <w:bottom w:val="nil"/>
              <w:right w:val="single" w:color="auto" w:sz="8" w:space="0"/>
            </w:tcBorders>
            <w:noWrap/>
            <w:vAlign w:val="center"/>
          </w:tcPr>
          <w:p>
            <w:pPr>
              <w:rPr>
                <w:rFonts w:hint="default" w:ascii="Times New Roman" w:hAnsi="Times New Roman" w:eastAsia="宋体" w:cs="Times New Roman"/>
                <w:sz w:val="21"/>
                <w:szCs w:val="21"/>
              </w:rPr>
            </w:pPr>
          </w:p>
        </w:tc>
        <w:tc>
          <w:tcPr>
            <w:tcW w:w="1080" w:type="dxa"/>
            <w:tcBorders>
              <w:bottom w:val="nil"/>
              <w:right w:val="single" w:color="auto" w:sz="8" w:space="0"/>
            </w:tcBorders>
            <w:noWrap/>
            <w:vAlign w:val="center"/>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tcBorders>
              <w:left w:val="single" w:color="auto" w:sz="8" w:space="0"/>
            </w:tcBorders>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155" w:type="dxa"/>
            <w:tcBorders>
              <w:left w:val="single" w:color="auto" w:sz="8" w:space="0"/>
            </w:tcBorders>
            <w:noWrap/>
            <w:vAlign w:val="center"/>
          </w:tcPr>
          <w:p>
            <w:pPr>
              <w:rPr>
                <w:rFonts w:hint="default" w:ascii="Times New Roman" w:hAnsi="Times New Roman" w:eastAsia="宋体" w:cs="Times New Roman"/>
                <w:sz w:val="21"/>
                <w:szCs w:val="21"/>
              </w:rPr>
            </w:pPr>
          </w:p>
        </w:tc>
        <w:tc>
          <w:tcPr>
            <w:tcW w:w="3150" w:type="dxa"/>
            <w:noWrap/>
            <w:vAlign w:val="center"/>
          </w:tcPr>
          <w:p>
            <w:pPr>
              <w:rPr>
                <w:rFonts w:hint="default" w:ascii="Times New Roman" w:hAnsi="Times New Roman" w:eastAsia="宋体" w:cs="Times New Roman"/>
                <w:sz w:val="21"/>
                <w:szCs w:val="21"/>
              </w:rPr>
            </w:pPr>
          </w:p>
        </w:tc>
        <w:tc>
          <w:tcPr>
            <w:tcW w:w="1260" w:type="dxa"/>
            <w:tcBorders>
              <w:bottom w:val="single" w:color="auto" w:sz="8" w:space="0"/>
            </w:tcBorders>
            <w:noWrap/>
            <w:vAlign w:val="center"/>
          </w:tcPr>
          <w:p>
            <w:pPr>
              <w:rPr>
                <w:rFonts w:hint="default" w:ascii="Times New Roman" w:hAnsi="Times New Roman" w:eastAsia="宋体" w:cs="Times New Roman"/>
                <w:sz w:val="21"/>
                <w:szCs w:val="21"/>
              </w:rPr>
            </w:pPr>
          </w:p>
        </w:tc>
        <w:tc>
          <w:tcPr>
            <w:tcW w:w="900" w:type="dxa"/>
            <w:tcBorders>
              <w:bottom w:val="single" w:color="auto" w:sz="8" w:space="0"/>
            </w:tcBorders>
            <w:noWrap/>
            <w:vAlign w:val="center"/>
          </w:tcPr>
          <w:p>
            <w:pPr>
              <w:rPr>
                <w:rFonts w:hint="default" w:ascii="Times New Roman" w:hAnsi="Times New Roman" w:eastAsia="宋体" w:cs="Times New Roman"/>
                <w:sz w:val="21"/>
                <w:szCs w:val="21"/>
              </w:rPr>
            </w:pPr>
          </w:p>
        </w:tc>
        <w:tc>
          <w:tcPr>
            <w:tcW w:w="1080" w:type="dxa"/>
            <w:tcBorders>
              <w:bottom w:val="nil"/>
              <w:right w:val="single" w:color="auto" w:sz="8" w:space="0"/>
            </w:tcBorders>
            <w:noWrap/>
            <w:vAlign w:val="center"/>
          </w:tcPr>
          <w:p>
            <w:pPr>
              <w:rPr>
                <w:rFonts w:hint="default" w:ascii="Times New Roman" w:hAnsi="Times New Roman" w:eastAsia="宋体" w:cs="Times New Roman"/>
                <w:sz w:val="21"/>
                <w:szCs w:val="21"/>
              </w:rPr>
            </w:pPr>
          </w:p>
        </w:tc>
        <w:tc>
          <w:tcPr>
            <w:tcW w:w="1080" w:type="dxa"/>
            <w:tcBorders>
              <w:bottom w:val="nil"/>
              <w:right w:val="single" w:color="auto" w:sz="8" w:space="0"/>
            </w:tcBorders>
            <w:noWrap/>
            <w:vAlign w:val="center"/>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tcBorders>
              <w:left w:val="single" w:color="auto" w:sz="8" w:space="0"/>
            </w:tcBorders>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155" w:type="dxa"/>
            <w:tcBorders>
              <w:left w:val="single" w:color="auto" w:sz="8" w:space="0"/>
            </w:tcBorders>
            <w:noWrap/>
            <w:vAlign w:val="center"/>
          </w:tcPr>
          <w:p>
            <w:pPr>
              <w:rPr>
                <w:rFonts w:hint="default" w:ascii="Times New Roman" w:hAnsi="Times New Roman" w:eastAsia="宋体" w:cs="Times New Roman"/>
                <w:sz w:val="21"/>
                <w:szCs w:val="21"/>
              </w:rPr>
            </w:pPr>
          </w:p>
        </w:tc>
        <w:tc>
          <w:tcPr>
            <w:tcW w:w="3150" w:type="dxa"/>
            <w:noWrap/>
            <w:vAlign w:val="center"/>
          </w:tcPr>
          <w:p>
            <w:pPr>
              <w:rPr>
                <w:rFonts w:hint="default" w:ascii="Times New Roman" w:hAnsi="Times New Roman" w:eastAsia="宋体" w:cs="Times New Roman"/>
                <w:sz w:val="21"/>
                <w:szCs w:val="21"/>
              </w:rPr>
            </w:pPr>
          </w:p>
        </w:tc>
        <w:tc>
          <w:tcPr>
            <w:tcW w:w="1260" w:type="dxa"/>
            <w:tcBorders>
              <w:bottom w:val="single" w:color="auto" w:sz="8" w:space="0"/>
            </w:tcBorders>
            <w:noWrap/>
            <w:vAlign w:val="center"/>
          </w:tcPr>
          <w:p>
            <w:pPr>
              <w:rPr>
                <w:rFonts w:hint="default" w:ascii="Times New Roman" w:hAnsi="Times New Roman" w:eastAsia="宋体" w:cs="Times New Roman"/>
                <w:sz w:val="21"/>
                <w:szCs w:val="21"/>
              </w:rPr>
            </w:pPr>
          </w:p>
        </w:tc>
        <w:tc>
          <w:tcPr>
            <w:tcW w:w="900" w:type="dxa"/>
            <w:tcBorders>
              <w:bottom w:val="single" w:color="auto" w:sz="8" w:space="0"/>
            </w:tcBorders>
            <w:noWrap/>
            <w:vAlign w:val="center"/>
          </w:tcPr>
          <w:p>
            <w:pPr>
              <w:rPr>
                <w:rFonts w:hint="default" w:ascii="Times New Roman" w:hAnsi="Times New Roman" w:eastAsia="宋体" w:cs="Times New Roman"/>
                <w:sz w:val="21"/>
                <w:szCs w:val="21"/>
              </w:rPr>
            </w:pPr>
          </w:p>
        </w:tc>
        <w:tc>
          <w:tcPr>
            <w:tcW w:w="1080" w:type="dxa"/>
            <w:tcBorders>
              <w:bottom w:val="nil"/>
              <w:right w:val="single" w:color="auto" w:sz="8" w:space="0"/>
            </w:tcBorders>
            <w:noWrap/>
            <w:vAlign w:val="center"/>
          </w:tcPr>
          <w:p>
            <w:pPr>
              <w:rPr>
                <w:rFonts w:hint="default" w:ascii="Times New Roman" w:hAnsi="Times New Roman" w:eastAsia="宋体" w:cs="Times New Roman"/>
                <w:sz w:val="21"/>
                <w:szCs w:val="21"/>
              </w:rPr>
            </w:pPr>
          </w:p>
        </w:tc>
        <w:tc>
          <w:tcPr>
            <w:tcW w:w="1080" w:type="dxa"/>
            <w:tcBorders>
              <w:bottom w:val="nil"/>
              <w:right w:val="single" w:color="auto" w:sz="8" w:space="0"/>
            </w:tcBorders>
            <w:noWrap/>
            <w:vAlign w:val="center"/>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tcBorders>
              <w:left w:val="single" w:color="auto" w:sz="8" w:space="0"/>
            </w:tcBorders>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155" w:type="dxa"/>
            <w:tcBorders>
              <w:left w:val="single" w:color="auto" w:sz="8" w:space="0"/>
            </w:tcBorders>
            <w:noWrap/>
            <w:vAlign w:val="center"/>
          </w:tcPr>
          <w:p>
            <w:pPr>
              <w:rPr>
                <w:rFonts w:hint="default" w:ascii="Times New Roman" w:hAnsi="Times New Roman" w:eastAsia="宋体" w:cs="Times New Roman"/>
                <w:sz w:val="21"/>
                <w:szCs w:val="21"/>
              </w:rPr>
            </w:pPr>
          </w:p>
        </w:tc>
        <w:tc>
          <w:tcPr>
            <w:tcW w:w="3150" w:type="dxa"/>
            <w:noWrap/>
            <w:vAlign w:val="center"/>
          </w:tcPr>
          <w:p>
            <w:pPr>
              <w:rPr>
                <w:rFonts w:hint="default" w:ascii="Times New Roman" w:hAnsi="Times New Roman" w:eastAsia="宋体" w:cs="Times New Roman"/>
                <w:sz w:val="21"/>
                <w:szCs w:val="21"/>
              </w:rPr>
            </w:pPr>
          </w:p>
        </w:tc>
        <w:tc>
          <w:tcPr>
            <w:tcW w:w="1260" w:type="dxa"/>
            <w:tcBorders>
              <w:bottom w:val="single" w:color="auto" w:sz="8" w:space="0"/>
            </w:tcBorders>
            <w:noWrap/>
            <w:vAlign w:val="center"/>
          </w:tcPr>
          <w:p>
            <w:pPr>
              <w:rPr>
                <w:rFonts w:hint="default" w:ascii="Times New Roman" w:hAnsi="Times New Roman" w:eastAsia="宋体" w:cs="Times New Roman"/>
                <w:sz w:val="21"/>
                <w:szCs w:val="21"/>
              </w:rPr>
            </w:pPr>
          </w:p>
        </w:tc>
        <w:tc>
          <w:tcPr>
            <w:tcW w:w="900" w:type="dxa"/>
            <w:tcBorders>
              <w:bottom w:val="single" w:color="auto" w:sz="8" w:space="0"/>
            </w:tcBorders>
            <w:noWrap/>
            <w:vAlign w:val="center"/>
          </w:tcPr>
          <w:p>
            <w:pPr>
              <w:rPr>
                <w:rFonts w:hint="default" w:ascii="Times New Roman" w:hAnsi="Times New Roman" w:eastAsia="宋体" w:cs="Times New Roman"/>
                <w:sz w:val="21"/>
                <w:szCs w:val="21"/>
              </w:rPr>
            </w:pPr>
          </w:p>
        </w:tc>
        <w:tc>
          <w:tcPr>
            <w:tcW w:w="1080" w:type="dxa"/>
            <w:tcBorders>
              <w:bottom w:val="nil"/>
              <w:right w:val="single" w:color="auto" w:sz="8" w:space="0"/>
            </w:tcBorders>
            <w:noWrap/>
            <w:vAlign w:val="center"/>
          </w:tcPr>
          <w:p>
            <w:pPr>
              <w:rPr>
                <w:rFonts w:hint="default" w:ascii="Times New Roman" w:hAnsi="Times New Roman" w:eastAsia="宋体" w:cs="Times New Roman"/>
                <w:sz w:val="21"/>
                <w:szCs w:val="21"/>
              </w:rPr>
            </w:pPr>
          </w:p>
        </w:tc>
        <w:tc>
          <w:tcPr>
            <w:tcW w:w="1080" w:type="dxa"/>
            <w:tcBorders>
              <w:bottom w:val="nil"/>
              <w:right w:val="single" w:color="auto" w:sz="8" w:space="0"/>
            </w:tcBorders>
            <w:noWrap/>
            <w:vAlign w:val="center"/>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tcBorders>
              <w:left w:val="single" w:color="auto" w:sz="8" w:space="0"/>
            </w:tcBorders>
            <w:noWrap/>
            <w:vAlign w:val="center"/>
          </w:tcPr>
          <w:p>
            <w:pPr>
              <w:jc w:val="center"/>
              <w:rPr>
                <w:rFonts w:hint="default" w:ascii="Times New Roman" w:hAnsi="Times New Roman" w:eastAsia="宋体" w:cs="Times New Roman"/>
                <w:sz w:val="21"/>
                <w:szCs w:val="21"/>
              </w:rPr>
            </w:pPr>
          </w:p>
        </w:tc>
        <w:tc>
          <w:tcPr>
            <w:tcW w:w="1155" w:type="dxa"/>
            <w:tcBorders>
              <w:left w:val="single" w:color="auto" w:sz="8" w:space="0"/>
            </w:tcBorders>
            <w:noWrap/>
            <w:vAlign w:val="center"/>
          </w:tcPr>
          <w:p>
            <w:pPr>
              <w:rPr>
                <w:rFonts w:hint="default" w:ascii="Times New Roman" w:hAnsi="Times New Roman" w:eastAsia="宋体" w:cs="Times New Roman"/>
                <w:sz w:val="21"/>
                <w:szCs w:val="21"/>
              </w:rPr>
            </w:pPr>
          </w:p>
        </w:tc>
        <w:tc>
          <w:tcPr>
            <w:tcW w:w="3150" w:type="dxa"/>
            <w:noWrap/>
            <w:vAlign w:val="center"/>
          </w:tcPr>
          <w:p>
            <w:pPr>
              <w:rPr>
                <w:rFonts w:hint="default" w:ascii="Times New Roman" w:hAnsi="Times New Roman" w:eastAsia="宋体" w:cs="Times New Roman"/>
                <w:sz w:val="21"/>
                <w:szCs w:val="21"/>
              </w:rPr>
            </w:pPr>
          </w:p>
        </w:tc>
        <w:tc>
          <w:tcPr>
            <w:tcW w:w="1260" w:type="dxa"/>
            <w:tcBorders>
              <w:bottom w:val="single" w:color="auto" w:sz="8" w:space="0"/>
            </w:tcBorders>
            <w:noWrap/>
            <w:vAlign w:val="center"/>
          </w:tcPr>
          <w:p>
            <w:pPr>
              <w:rPr>
                <w:rFonts w:hint="default" w:ascii="Times New Roman" w:hAnsi="Times New Roman" w:eastAsia="宋体" w:cs="Times New Roman"/>
                <w:sz w:val="21"/>
                <w:szCs w:val="21"/>
              </w:rPr>
            </w:pPr>
          </w:p>
        </w:tc>
        <w:tc>
          <w:tcPr>
            <w:tcW w:w="900" w:type="dxa"/>
            <w:tcBorders>
              <w:bottom w:val="single" w:color="auto" w:sz="8" w:space="0"/>
            </w:tcBorders>
            <w:noWrap/>
            <w:vAlign w:val="center"/>
          </w:tcPr>
          <w:p>
            <w:pPr>
              <w:rPr>
                <w:rFonts w:hint="default" w:ascii="Times New Roman" w:hAnsi="Times New Roman" w:eastAsia="宋体" w:cs="Times New Roman"/>
                <w:sz w:val="21"/>
                <w:szCs w:val="21"/>
              </w:rPr>
            </w:pPr>
          </w:p>
        </w:tc>
        <w:tc>
          <w:tcPr>
            <w:tcW w:w="1080" w:type="dxa"/>
            <w:tcBorders>
              <w:bottom w:val="nil"/>
              <w:right w:val="single" w:color="auto" w:sz="8" w:space="0"/>
            </w:tcBorders>
            <w:noWrap/>
            <w:vAlign w:val="center"/>
          </w:tcPr>
          <w:p>
            <w:pPr>
              <w:rPr>
                <w:rFonts w:hint="default" w:ascii="Times New Roman" w:hAnsi="Times New Roman" w:eastAsia="宋体" w:cs="Times New Roman"/>
                <w:sz w:val="21"/>
                <w:szCs w:val="21"/>
              </w:rPr>
            </w:pPr>
          </w:p>
        </w:tc>
        <w:tc>
          <w:tcPr>
            <w:tcW w:w="1080" w:type="dxa"/>
            <w:tcBorders>
              <w:bottom w:val="nil"/>
              <w:right w:val="single" w:color="auto" w:sz="8" w:space="0"/>
            </w:tcBorders>
            <w:noWrap/>
            <w:vAlign w:val="center"/>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trPr>
        <w:tc>
          <w:tcPr>
            <w:tcW w:w="9360" w:type="dxa"/>
            <w:gridSpan w:val="7"/>
            <w:tcBorders>
              <w:left w:val="single" w:color="auto" w:sz="8" w:space="0"/>
              <w:right w:val="single" w:color="auto" w:sz="8" w:space="0"/>
            </w:tcBorders>
            <w:noWrap/>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合计总额：￥；大写：</w:t>
            </w:r>
          </w:p>
        </w:tc>
      </w:tr>
    </w:tbl>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合同总额包括乙方安装、随机零配件、标配工具、运输保险、调试、培训、质保期服务、检测费、各项税费及合同实施过程中不可预见费用等。</w:t>
      </w:r>
    </w:p>
    <w:p>
      <w:pPr>
        <w:spacing w:line="360" w:lineRule="auto"/>
        <w:ind w:firstLine="480" w:firstLineChars="200"/>
        <w:rPr>
          <w:rFonts w:hint="eastAsia" w:ascii="宋体" w:hAnsi="宋体" w:eastAsia="宋体" w:cs="宋体"/>
          <w:szCs w:val="21"/>
        </w:rPr>
      </w:pPr>
      <w:r>
        <w:rPr>
          <w:rFonts w:hint="default" w:ascii="Times New Roman" w:hAnsi="Times New Roman" w:eastAsia="宋体" w:cs="Times New Roman"/>
          <w:sz w:val="24"/>
          <w:szCs w:val="24"/>
        </w:rPr>
        <w:t>注：货物名称内容必须与谈判文件中货物名称内容一致，并包含不低于100：5的比例提供相应的胶套、螺丝及五金配件（配件种类、数量按乙方在投标文件中承诺填写）。</w:t>
      </w:r>
    </w:p>
    <w:p>
      <w:pPr>
        <w:tabs>
          <w:tab w:val="left" w:pos="851"/>
        </w:tabs>
        <w:spacing w:line="360" w:lineRule="auto"/>
        <w:rPr>
          <w:rFonts w:hint="eastAsia" w:ascii="宋体" w:hAnsi="宋体" w:eastAsia="宋体" w:cs="宋体"/>
          <w:b/>
          <w:szCs w:val="21"/>
        </w:rPr>
      </w:pPr>
      <w:bookmarkStart w:id="149" w:name="_Toc19055_WPSOffice_Level3"/>
      <w:bookmarkStart w:id="150" w:name="_Toc4081_WPSOffice_Level2"/>
      <w:r>
        <w:rPr>
          <w:rFonts w:hint="default" w:ascii="Times New Roman" w:hAnsi="Times New Roman" w:eastAsia="宋体" w:cs="Times New Roman"/>
          <w:b/>
          <w:sz w:val="24"/>
          <w:szCs w:val="24"/>
        </w:rPr>
        <w:t>二、合同金额</w:t>
      </w:r>
      <w:bookmarkEnd w:id="149"/>
      <w:bookmarkEnd w:id="150"/>
    </w:p>
    <w:p>
      <w:pPr>
        <w:spacing w:line="360" w:lineRule="auto"/>
        <w:ind w:left="540" w:hanging="540"/>
        <w:rPr>
          <w:rFonts w:hint="eastAsia" w:ascii="宋体" w:hAnsi="宋体" w:eastAsia="宋体" w:cs="宋体"/>
        </w:rPr>
      </w:pPr>
      <w:r>
        <w:rPr>
          <w:rFonts w:hint="eastAsia" w:ascii="宋体" w:hAnsi="宋体" w:eastAsia="宋体" w:cs="宋体"/>
        </w:rPr>
        <w:tab/>
      </w:r>
      <w:r>
        <w:rPr>
          <w:rFonts w:hint="eastAsia" w:ascii="宋体" w:hAnsi="宋体" w:eastAsia="宋体" w:cs="宋体"/>
          <w:sz w:val="24"/>
          <w:szCs w:val="24"/>
        </w:rPr>
        <w:t>合同金额为（大写）：_________________元（￥_______________元）人民币。</w:t>
      </w:r>
    </w:p>
    <w:p>
      <w:pPr>
        <w:tabs>
          <w:tab w:val="left" w:pos="851"/>
        </w:tabs>
        <w:spacing w:line="360" w:lineRule="auto"/>
        <w:rPr>
          <w:rFonts w:hint="eastAsia" w:ascii="宋体" w:hAnsi="宋体" w:eastAsia="宋体" w:cs="宋体"/>
          <w:b/>
          <w:szCs w:val="21"/>
        </w:rPr>
      </w:pPr>
      <w:bookmarkStart w:id="151" w:name="_Toc25325_WPSOffice_Level2"/>
      <w:bookmarkStart w:id="152" w:name="_Toc22224_WPSOffice_Level3"/>
      <w:r>
        <w:rPr>
          <w:rFonts w:hint="eastAsia" w:ascii="宋体" w:hAnsi="宋体" w:eastAsia="宋体" w:cs="宋体"/>
          <w:b/>
          <w:sz w:val="24"/>
          <w:szCs w:val="24"/>
        </w:rPr>
        <w:t>三、设备要求</w:t>
      </w:r>
      <w:bookmarkEnd w:id="151"/>
      <w:bookmarkEnd w:id="152"/>
    </w:p>
    <w:p>
      <w:pPr>
        <w:spacing w:line="360" w:lineRule="auto"/>
        <w:ind w:hanging="311"/>
        <w:jc w:val="left"/>
        <w:rPr>
          <w:rFonts w:hint="eastAsia" w:ascii="宋体" w:hAnsi="宋体" w:eastAsia="宋体" w:cs="宋体"/>
          <w:szCs w:val="21"/>
        </w:rPr>
      </w:pPr>
      <w:r>
        <w:rPr>
          <w:rFonts w:hint="eastAsia" w:ascii="宋体" w:hAnsi="宋体" w:eastAsia="宋体" w:cs="宋体"/>
          <w:szCs w:val="21"/>
        </w:rPr>
        <w:tab/>
      </w:r>
      <w:r>
        <w:rPr>
          <w:rFonts w:hint="eastAsia" w:ascii="宋体" w:hAnsi="宋体" w:eastAsia="宋体" w:cs="宋体"/>
          <w:szCs w:val="21"/>
        </w:rPr>
        <w:t xml:space="preserve">    </w:t>
      </w:r>
      <w:r>
        <w:rPr>
          <w:rFonts w:hint="eastAsia" w:ascii="宋体" w:hAnsi="宋体" w:eastAsia="宋体" w:cs="宋体"/>
          <w:sz w:val="24"/>
          <w:szCs w:val="24"/>
        </w:rPr>
        <w:t>货物为原制造商制造的全新产品，整机无污染，无侵权行为、表面无划损、无任何缺陷隐患，在中国境内可依常规安全合法使用。</w:t>
      </w:r>
    </w:p>
    <w:p>
      <w:pPr>
        <w:tabs>
          <w:tab w:val="left" w:pos="851"/>
        </w:tabs>
        <w:spacing w:line="360" w:lineRule="auto"/>
        <w:rPr>
          <w:rFonts w:hint="eastAsia" w:ascii="宋体" w:hAnsi="宋体" w:eastAsia="宋体" w:cs="宋体"/>
          <w:b/>
          <w:szCs w:val="21"/>
        </w:rPr>
      </w:pPr>
      <w:bookmarkStart w:id="153" w:name="_Toc9761_WPSOffice_Level2"/>
      <w:bookmarkStart w:id="154" w:name="_Toc13234_WPSOffice_Level3"/>
      <w:r>
        <w:rPr>
          <w:rFonts w:hint="eastAsia" w:ascii="宋体" w:hAnsi="宋体" w:eastAsia="宋体" w:cs="宋体"/>
          <w:b/>
          <w:sz w:val="24"/>
          <w:szCs w:val="24"/>
        </w:rPr>
        <w:t>四、交货期、交货方式及交货地点</w:t>
      </w:r>
      <w:bookmarkEnd w:id="153"/>
      <w:bookmarkEnd w:id="154"/>
    </w:p>
    <w:p>
      <w:pPr>
        <w:tabs>
          <w:tab w:val="left" w:pos="851"/>
        </w:tabs>
        <w:spacing w:line="360" w:lineRule="auto"/>
        <w:ind w:left="851" w:hanging="851"/>
        <w:rPr>
          <w:rFonts w:hint="default" w:ascii="Times New Roman" w:hAnsi="Times New Roman" w:eastAsia="宋体" w:cs="Times New Roman"/>
          <w:sz w:val="24"/>
          <w:szCs w:val="24"/>
        </w:rPr>
      </w:pPr>
      <w:bookmarkStart w:id="155" w:name="_Toc6428_WPSOffice_Level3"/>
      <w:r>
        <w:rPr>
          <w:rFonts w:hint="default" w:ascii="Times New Roman" w:hAnsi="Times New Roman" w:eastAsia="宋体" w:cs="Times New Roman"/>
          <w:sz w:val="24"/>
          <w:szCs w:val="24"/>
        </w:rPr>
        <w:t>1.交货期：</w:t>
      </w:r>
      <w:bookmarkEnd w:id="155"/>
      <w:r>
        <w:rPr>
          <w:rFonts w:hint="default" w:ascii="Times New Roman" w:hAnsi="Times New Roman" w:eastAsia="宋体" w:cs="Times New Roman"/>
          <w:sz w:val="24"/>
          <w:szCs w:val="24"/>
        </w:rPr>
        <w:t>合同签订后</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个日历天，并根据采购方要求分批送货、安装。</w:t>
      </w:r>
    </w:p>
    <w:p>
      <w:pPr>
        <w:tabs>
          <w:tab w:val="left" w:pos="851"/>
        </w:tabs>
        <w:spacing w:line="360" w:lineRule="auto"/>
        <w:ind w:left="851" w:hanging="851"/>
        <w:rPr>
          <w:rFonts w:hint="default" w:ascii="Times New Roman" w:hAnsi="Times New Roman" w:eastAsia="宋体" w:cs="Times New Roman"/>
          <w:sz w:val="24"/>
          <w:szCs w:val="24"/>
        </w:rPr>
      </w:pPr>
      <w:bookmarkStart w:id="156" w:name="_Toc5768_WPSOffice_Level3"/>
      <w:r>
        <w:rPr>
          <w:rFonts w:hint="default" w:ascii="Times New Roman" w:hAnsi="Times New Roman" w:eastAsia="宋体" w:cs="Times New Roman"/>
          <w:sz w:val="24"/>
          <w:szCs w:val="24"/>
        </w:rPr>
        <w:t>2.交货方式：</w:t>
      </w:r>
      <w:bookmarkEnd w:id="156"/>
      <w:r>
        <w:rPr>
          <w:rFonts w:hint="default" w:ascii="Times New Roman" w:hAnsi="Times New Roman" w:eastAsia="宋体" w:cs="Times New Roman"/>
          <w:sz w:val="24"/>
          <w:szCs w:val="24"/>
        </w:rPr>
        <w:t>完成安装并按甲方要求摆放。</w:t>
      </w:r>
    </w:p>
    <w:p>
      <w:pPr>
        <w:tabs>
          <w:tab w:val="left" w:pos="851"/>
        </w:tabs>
        <w:spacing w:line="360" w:lineRule="auto"/>
        <w:ind w:left="851" w:hanging="851"/>
        <w:rPr>
          <w:rFonts w:hint="eastAsia" w:ascii="宋体" w:hAnsi="宋体" w:eastAsia="宋体" w:cs="宋体"/>
          <w:szCs w:val="21"/>
        </w:rPr>
      </w:pPr>
      <w:bookmarkStart w:id="157" w:name="_Toc20297_WPSOffice_Level3"/>
      <w:r>
        <w:rPr>
          <w:rFonts w:hint="default" w:ascii="Times New Roman" w:hAnsi="Times New Roman" w:eastAsia="宋体" w:cs="Times New Roman"/>
          <w:sz w:val="24"/>
          <w:szCs w:val="24"/>
        </w:rPr>
        <w:t>3.交货地点：</w:t>
      </w:r>
      <w:bookmarkEnd w:id="157"/>
      <w:r>
        <w:rPr>
          <w:rFonts w:hint="default" w:ascii="Times New Roman" w:hAnsi="Times New Roman" w:eastAsia="宋体" w:cs="Times New Roman"/>
          <w:sz w:val="24"/>
          <w:szCs w:val="24"/>
        </w:rPr>
        <w:t>甲方指定的地点。</w:t>
      </w:r>
    </w:p>
    <w:p>
      <w:pPr>
        <w:tabs>
          <w:tab w:val="left" w:pos="851"/>
        </w:tabs>
        <w:spacing w:line="360" w:lineRule="auto"/>
        <w:ind w:left="851" w:hanging="851"/>
        <w:rPr>
          <w:rFonts w:hint="eastAsia" w:ascii="宋体" w:hAnsi="宋体" w:eastAsia="宋体" w:cs="宋体"/>
          <w:szCs w:val="21"/>
        </w:rPr>
      </w:pPr>
      <w:bookmarkStart w:id="158" w:name="_Toc29121_WPSOffice_Level2"/>
      <w:bookmarkStart w:id="159" w:name="_Toc21358_WPSOffice_Level3"/>
      <w:r>
        <w:rPr>
          <w:rFonts w:hint="eastAsia" w:ascii="宋体" w:hAnsi="宋体" w:eastAsia="宋体" w:cs="宋体"/>
          <w:b/>
          <w:sz w:val="24"/>
          <w:szCs w:val="24"/>
        </w:rPr>
        <w:t>五、付款方式</w:t>
      </w:r>
      <w:bookmarkEnd w:id="158"/>
      <w:bookmarkEnd w:id="159"/>
    </w:p>
    <w:p>
      <w:pPr>
        <w:spacing w:line="360" w:lineRule="auto"/>
        <w:ind w:left="180" w:hanging="180"/>
        <w:rPr>
          <w:rFonts w:hint="default" w:ascii="Times New Roman" w:hAnsi="Times New Roman" w:eastAsia="宋体" w:cs="Times New Roman"/>
          <w:sz w:val="24"/>
          <w:szCs w:val="24"/>
        </w:rPr>
      </w:pPr>
      <w:r>
        <w:rPr>
          <w:rFonts w:hint="eastAsia" w:ascii="宋体" w:hAnsi="宋体" w:eastAsia="宋体" w:cs="宋体"/>
          <w:szCs w:val="21"/>
        </w:rPr>
        <w:tab/>
      </w:r>
      <w:r>
        <w:rPr>
          <w:rFonts w:hint="default" w:ascii="Times New Roman" w:hAnsi="Times New Roman" w:eastAsia="宋体" w:cs="Times New Roman"/>
          <w:sz w:val="24"/>
          <w:szCs w:val="24"/>
        </w:rPr>
        <w:t>由甲方按下列程序在内付款：</w:t>
      </w:r>
    </w:p>
    <w:p>
      <w:pPr>
        <w:tabs>
          <w:tab w:val="left" w:pos="851"/>
        </w:tabs>
        <w:spacing w:line="360" w:lineRule="auto"/>
        <w:ind w:left="851" w:hanging="85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1.预付款：无。</w:t>
      </w:r>
    </w:p>
    <w:p>
      <w:pPr>
        <w:spacing w:line="360" w:lineRule="auto"/>
        <w:ind w:left="-10" w:leftChars="-5"/>
        <w:rPr>
          <w:rFonts w:hint="eastAsia" w:ascii="宋体" w:hAnsi="宋体" w:eastAsia="宋体" w:cs="宋体"/>
          <w:szCs w:val="21"/>
        </w:rPr>
      </w:pPr>
      <w:r>
        <w:rPr>
          <w:rFonts w:hint="default" w:ascii="Times New Roman" w:hAnsi="Times New Roman" w:eastAsia="宋体" w:cs="Times New Roman"/>
          <w:sz w:val="24"/>
          <w:szCs w:val="24"/>
        </w:rPr>
        <w:t>2.设备安装调试结束，提交全部报告材料，调试完成并验收合格后，支付至合同金额的100%。</w:t>
      </w:r>
    </w:p>
    <w:p>
      <w:pPr>
        <w:tabs>
          <w:tab w:val="left" w:pos="851"/>
        </w:tabs>
        <w:spacing w:line="360" w:lineRule="auto"/>
        <w:ind w:left="851" w:hanging="851"/>
        <w:rPr>
          <w:rFonts w:hint="eastAsia" w:ascii="宋体" w:hAnsi="宋体" w:eastAsia="宋体" w:cs="宋体"/>
          <w:b/>
          <w:szCs w:val="21"/>
        </w:rPr>
      </w:pPr>
      <w:r>
        <w:rPr>
          <w:rFonts w:hint="eastAsia" w:ascii="宋体" w:hAnsi="宋体" w:eastAsia="宋体" w:cs="宋体"/>
          <w:b/>
          <w:sz w:val="24"/>
          <w:szCs w:val="24"/>
        </w:rPr>
        <w:t>六、履约保金及质保金</w:t>
      </w:r>
    </w:p>
    <w:p>
      <w:pPr>
        <w:spacing w:line="360" w:lineRule="auto"/>
        <w:ind w:left="-10" w:leftChars="-5" w:firstLine="480" w:firstLineChars="200"/>
        <w:rPr>
          <w:rFonts w:hint="eastAsia" w:ascii="宋体" w:hAnsi="宋体" w:eastAsia="宋体" w:cs="宋体"/>
        </w:rPr>
      </w:pPr>
      <w:r>
        <w:rPr>
          <w:rFonts w:hint="default" w:ascii="Times New Roman" w:hAnsi="Times New Roman" w:eastAsia="宋体" w:cs="Times New Roman"/>
          <w:sz w:val="24"/>
          <w:szCs w:val="24"/>
        </w:rPr>
        <w:t>合同签订之前，供应商按合同金额的3%向采购人交纳履约保证金，履约保证金在供应商按合同约定交货验收合格后转为质量保证金，满</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年后在20个工作日内甲方一次性无息退还乙方。</w:t>
      </w:r>
    </w:p>
    <w:p>
      <w:pPr>
        <w:spacing w:line="360" w:lineRule="auto"/>
        <w:ind w:left="851" w:hanging="851"/>
        <w:rPr>
          <w:rFonts w:hint="eastAsia" w:ascii="宋体" w:hAnsi="宋体" w:eastAsia="宋体" w:cs="宋体"/>
          <w:szCs w:val="21"/>
        </w:rPr>
      </w:pPr>
      <w:bookmarkStart w:id="160" w:name="_Toc23491_WPSOffice_Level3"/>
      <w:bookmarkStart w:id="161" w:name="_Toc12827_WPSOffice_Level2"/>
      <w:r>
        <w:rPr>
          <w:rFonts w:hint="eastAsia" w:ascii="宋体" w:hAnsi="宋体" w:eastAsia="宋体" w:cs="宋体"/>
          <w:b/>
          <w:sz w:val="24"/>
          <w:szCs w:val="24"/>
        </w:rPr>
        <w:t>七、质保期及售后服务要求</w:t>
      </w:r>
      <w:bookmarkEnd w:id="160"/>
      <w:bookmarkEnd w:id="161"/>
    </w:p>
    <w:p>
      <w:pPr>
        <w:spacing w:line="360" w:lineRule="auto"/>
        <w:rPr>
          <w:rFonts w:hint="default" w:ascii="Times New Roman" w:hAnsi="Times New Roman" w:eastAsia="宋体" w:cs="Times New Roman"/>
          <w:sz w:val="24"/>
          <w:szCs w:val="24"/>
        </w:rPr>
      </w:pPr>
      <w:bookmarkStart w:id="162" w:name="_Toc11294_WPSOffice_Level3"/>
      <w:bookmarkStart w:id="163" w:name="_Toc7817_WPSOffice_Level2"/>
      <w:r>
        <w:rPr>
          <w:rFonts w:hint="default" w:ascii="Times New Roman" w:hAnsi="Times New Roman" w:eastAsia="宋体" w:cs="Times New Roman"/>
          <w:sz w:val="24"/>
          <w:szCs w:val="24"/>
        </w:rPr>
        <w:t>1.本合同的质量保证期（简称“质保期”）为质量保证期不少于</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年，质保期内乙方对所供货物实行包修、包换、包退及合同约定的其它事项，期满后可同时提供终身(免费/有偿)维修保养服务。</w:t>
      </w:r>
    </w:p>
    <w:p>
      <w:pPr>
        <w:tabs>
          <w:tab w:val="left" w:pos="-900"/>
        </w:tabs>
        <w:spacing w:line="360" w:lineRule="auto"/>
        <w:ind w:left="-10" w:leftChars="-5" w:firstLine="120" w:firstLineChars="5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2.质保期内，如设备或零部件因质量原因出现故障而造成短期停用时，则质保期和免费维修期相应顺延。如停用时间累计超过60天则质保期重新计算。</w:t>
      </w:r>
    </w:p>
    <w:p>
      <w:pPr>
        <w:tabs>
          <w:tab w:val="left" w:pos="-540"/>
        </w:tabs>
        <w:spacing w:line="360" w:lineRule="auto"/>
        <w:ind w:left="-2" w:leftChars="-1" w:firstLine="120" w:firstLineChars="50"/>
        <w:rPr>
          <w:rFonts w:hint="eastAsia" w:ascii="宋体" w:hAnsi="宋体" w:eastAsia="宋体" w:cs="宋体"/>
          <w:szCs w:val="21"/>
        </w:rPr>
      </w:pPr>
      <w:r>
        <w:rPr>
          <w:rFonts w:hint="default" w:ascii="Times New Roman" w:hAnsi="Times New Roman" w:eastAsia="宋体" w:cs="Times New Roman"/>
          <w:sz w:val="24"/>
          <w:szCs w:val="24"/>
        </w:rPr>
        <w:t>3.对甲方的服务通知，乙方在接报后1小时内响应，2小时内到达现场，12小时内处理完毕。若在12小时内仍未能有效解决，乙方须免费提供同档次的设备予甲方临时使用。</w:t>
      </w:r>
    </w:p>
    <w:p>
      <w:pPr>
        <w:tabs>
          <w:tab w:val="left" w:pos="-540"/>
        </w:tabs>
        <w:spacing w:line="360" w:lineRule="auto"/>
        <w:ind w:left="-2" w:leftChars="-1" w:firstLine="120" w:firstLineChars="50"/>
        <w:rPr>
          <w:rFonts w:hint="eastAsia" w:ascii="宋体" w:hAnsi="宋体" w:eastAsia="宋体" w:cs="宋体"/>
          <w:szCs w:val="21"/>
        </w:rPr>
      </w:pPr>
      <w:r>
        <w:rPr>
          <w:rFonts w:hint="eastAsia" w:ascii="宋体" w:hAnsi="宋体" w:eastAsia="宋体" w:cs="宋体"/>
          <w:b/>
          <w:sz w:val="24"/>
          <w:szCs w:val="24"/>
        </w:rPr>
        <w:t>八、安装与调试</w:t>
      </w:r>
      <w:bookmarkEnd w:id="162"/>
      <w:bookmarkEnd w:id="163"/>
    </w:p>
    <w:p>
      <w:pPr>
        <w:tabs>
          <w:tab w:val="left" w:pos="-720"/>
        </w:tabs>
        <w:spacing w:line="360" w:lineRule="auto"/>
        <w:ind w:left="-6" w:leftChars="-3"/>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 w:val="24"/>
          <w:szCs w:val="24"/>
        </w:rPr>
        <w:t>乙方必须依照谈判文件的要求和谈判文件的承诺，将设备、系统安装并调试至正常运行的最佳状态。</w:t>
      </w:r>
    </w:p>
    <w:p>
      <w:pPr>
        <w:tabs>
          <w:tab w:val="left" w:pos="-540"/>
        </w:tabs>
        <w:spacing w:line="360" w:lineRule="auto"/>
        <w:ind w:left="-2" w:leftChars="-1" w:firstLine="120" w:firstLineChars="50"/>
        <w:rPr>
          <w:rFonts w:hint="eastAsia" w:ascii="宋体" w:hAnsi="宋体" w:eastAsia="宋体" w:cs="宋体"/>
          <w:b/>
          <w:szCs w:val="21"/>
        </w:rPr>
      </w:pPr>
      <w:bookmarkStart w:id="164" w:name="_Toc24366_WPSOffice_Level3"/>
      <w:bookmarkStart w:id="165" w:name="_Toc19260_WPSOffice_Level2"/>
      <w:r>
        <w:rPr>
          <w:rFonts w:hint="eastAsia" w:ascii="宋体" w:hAnsi="宋体" w:eastAsia="宋体" w:cs="宋体"/>
          <w:b/>
          <w:sz w:val="24"/>
          <w:szCs w:val="24"/>
        </w:rPr>
        <w:t>九、验收</w:t>
      </w:r>
      <w:bookmarkEnd w:id="164"/>
      <w:bookmarkEnd w:id="165"/>
    </w:p>
    <w:p>
      <w:pPr>
        <w:tabs>
          <w:tab w:val="left" w:pos="-540"/>
        </w:tabs>
        <w:spacing w:line="360" w:lineRule="auto"/>
        <w:ind w:left="-10" w:leftChars="-5" w:firstLine="9" w:firstLineChars="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1.交付验收标准</w:t>
      </w:r>
      <w:r>
        <w:rPr>
          <w:rFonts w:hint="default" w:ascii="Times New Roman" w:hAnsi="Times New Roman" w:eastAsia="宋体" w:cs="Times New Roman"/>
          <w:sz w:val="24"/>
          <w:szCs w:val="24"/>
          <w:lang w:val="en-GB"/>
        </w:rPr>
        <w:t>依次序对照适用</w:t>
      </w:r>
      <w:r>
        <w:rPr>
          <w:rFonts w:hint="default" w:ascii="Times New Roman" w:hAnsi="Times New Roman" w:eastAsia="宋体" w:cs="Times New Roman"/>
          <w:sz w:val="24"/>
          <w:szCs w:val="24"/>
        </w:rPr>
        <w:t>标准</w:t>
      </w:r>
      <w:r>
        <w:rPr>
          <w:rFonts w:hint="default" w:ascii="Times New Roman" w:hAnsi="Times New Roman" w:eastAsia="宋体" w:cs="Times New Roman"/>
          <w:sz w:val="24"/>
          <w:szCs w:val="24"/>
          <w:lang w:val="en-GB"/>
        </w:rPr>
        <w:t>为：</w:t>
      </w:r>
      <w:r>
        <w:rPr>
          <w:rFonts w:hint="default" w:ascii="Times New Roman" w:hAnsi="Times New Roman" w:eastAsia="宋体" w:cs="Times New Roman"/>
          <w:sz w:val="24"/>
          <w:szCs w:val="24"/>
        </w:rPr>
        <w:t>①符合中华人民共和国国家安全质量标准、环保标准或行业标准；②符合谈判文件和响应承诺中甲方认可的合理最佳配置、参数及各项要求；③货物来源国官方标准。</w:t>
      </w:r>
    </w:p>
    <w:p>
      <w:pPr>
        <w:tabs>
          <w:tab w:val="left" w:pos="-540"/>
        </w:tabs>
        <w:spacing w:line="360" w:lineRule="auto"/>
        <w:ind w:left="-10" w:leftChars="-5" w:firstLine="9" w:firstLineChars="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2.进口产品必须具备原产地证明和商检局的检验证明及合法进货渠道证明。</w:t>
      </w:r>
    </w:p>
    <w:p>
      <w:pPr>
        <w:tabs>
          <w:tab w:val="left" w:pos="-540"/>
        </w:tabs>
        <w:spacing w:line="360" w:lineRule="auto"/>
        <w:ind w:left="-10" w:leftChars="-5" w:firstLine="9" w:firstLineChars="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3.货物为原厂商未启封全新包装，具出厂合格证，序列号、包装箱号与出厂批号一致，并可追索查阅。所有随设备的附件必须齐全。</w:t>
      </w:r>
    </w:p>
    <w:p>
      <w:pPr>
        <w:tabs>
          <w:tab w:val="left" w:pos="-540"/>
        </w:tabs>
        <w:spacing w:line="360" w:lineRule="auto"/>
        <w:ind w:left="-10" w:leftChars="-5" w:firstLine="9" w:firstLineChars="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4.乙方应将关键主机设备的用户手册、保修手册、有关单证资料及配备件、随机工具等交付给甲方，使用操作及安全须知等重要资料应附有中文说明。</w:t>
      </w:r>
    </w:p>
    <w:p>
      <w:pPr>
        <w:tabs>
          <w:tab w:val="left" w:pos="-540"/>
        </w:tabs>
        <w:spacing w:line="360" w:lineRule="auto"/>
        <w:ind w:left="-10" w:leftChars="-5" w:firstLine="9" w:firstLineChars="4"/>
        <w:rPr>
          <w:rFonts w:hint="eastAsia" w:ascii="宋体" w:hAnsi="宋体" w:eastAsia="宋体" w:cs="宋体"/>
          <w:szCs w:val="21"/>
        </w:rPr>
      </w:pPr>
      <w:r>
        <w:rPr>
          <w:rFonts w:hint="default" w:ascii="Times New Roman" w:hAnsi="Times New Roman" w:eastAsia="宋体" w:cs="Times New Roman"/>
          <w:sz w:val="24"/>
          <w:szCs w:val="24"/>
        </w:rPr>
        <w:t>5.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tabs>
          <w:tab w:val="left" w:pos="851"/>
        </w:tabs>
        <w:spacing w:line="360" w:lineRule="auto"/>
        <w:rPr>
          <w:rFonts w:hint="eastAsia" w:ascii="宋体" w:hAnsi="宋体" w:eastAsia="宋体" w:cs="宋体"/>
          <w:b/>
          <w:szCs w:val="21"/>
        </w:rPr>
      </w:pPr>
      <w:bookmarkStart w:id="166" w:name="_Toc22224_WPSOffice_Level1"/>
      <w:bookmarkStart w:id="167" w:name="_Toc16348_WPSOffice_Level2"/>
      <w:r>
        <w:rPr>
          <w:rFonts w:hint="eastAsia" w:ascii="宋体" w:hAnsi="宋体" w:eastAsia="宋体" w:cs="宋体"/>
          <w:b/>
          <w:sz w:val="24"/>
          <w:szCs w:val="24"/>
          <w:lang w:eastAsia="zh-CN"/>
        </w:rPr>
        <w:t>十</w:t>
      </w:r>
      <w:r>
        <w:rPr>
          <w:rFonts w:hint="eastAsia" w:ascii="宋体" w:hAnsi="宋体" w:eastAsia="宋体" w:cs="宋体"/>
          <w:b/>
          <w:sz w:val="24"/>
          <w:szCs w:val="24"/>
        </w:rPr>
        <w:t>、违约责任与赔偿损失</w:t>
      </w:r>
      <w:bookmarkEnd w:id="166"/>
      <w:bookmarkEnd w:id="167"/>
    </w:p>
    <w:p>
      <w:pPr>
        <w:tabs>
          <w:tab w:val="left" w:pos="-540"/>
        </w:tabs>
        <w:spacing w:line="360" w:lineRule="auto"/>
        <w:ind w:left="-10" w:leftChars="-5" w:firstLine="9" w:firstLineChars="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t>乙方交付的货物、工程/提供的服务不符合本合同规定的，甲方有权拒收，并且乙方须向甲方支付本合同总价5%的违约金。</w:t>
      </w:r>
    </w:p>
    <w:p>
      <w:pPr>
        <w:tabs>
          <w:tab w:val="left" w:pos="-540"/>
        </w:tabs>
        <w:spacing w:line="360" w:lineRule="auto"/>
        <w:ind w:left="-10" w:leftChars="-5" w:firstLine="9" w:firstLineChars="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2.乙方未能按本合同规定的交货时间交付货物的/提供服务，从逾期之日起每日按本合同总价3‰的数额向甲方支付违约金；逾期半个月以上的，甲方有权终止合同，由此造成的甲方经济损失由乙方承担。</w:t>
      </w:r>
    </w:p>
    <w:p>
      <w:pPr>
        <w:tabs>
          <w:tab w:val="left" w:pos="-540"/>
        </w:tabs>
        <w:spacing w:line="360" w:lineRule="auto"/>
        <w:ind w:left="-10" w:leftChars="-5" w:firstLine="9" w:firstLineChars="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3.甲方无正当理由拒收货物/接受服务，到期拒付货物/服务款项的，甲方向乙方偿付本合同总的5%的违约金。甲方逾期付款，则每日按本合同总价的3‰向乙方偿付违约金。</w:t>
      </w:r>
    </w:p>
    <w:p>
      <w:pPr>
        <w:tabs>
          <w:tab w:val="left" w:pos="-540"/>
        </w:tabs>
        <w:spacing w:line="360" w:lineRule="auto"/>
        <w:ind w:left="-10" w:leftChars="-5" w:firstLine="9" w:firstLineChars="4"/>
        <w:rPr>
          <w:rFonts w:hint="eastAsia" w:ascii="宋体" w:hAnsi="宋体" w:eastAsia="宋体" w:cs="宋体"/>
          <w:szCs w:val="21"/>
        </w:rPr>
      </w:pPr>
      <w:r>
        <w:rPr>
          <w:rFonts w:hint="default" w:ascii="Times New Roman" w:hAnsi="Times New Roman" w:eastAsia="宋体" w:cs="Times New Roman"/>
          <w:sz w:val="24"/>
          <w:szCs w:val="24"/>
        </w:rPr>
        <w:t>4.其它违约责任按《中华人民共和国合同法》处理。</w:t>
      </w:r>
    </w:p>
    <w:p>
      <w:pPr>
        <w:tabs>
          <w:tab w:val="left" w:pos="851"/>
        </w:tabs>
        <w:spacing w:line="360" w:lineRule="auto"/>
        <w:rPr>
          <w:rFonts w:hint="eastAsia" w:ascii="宋体" w:hAnsi="宋体" w:eastAsia="宋体" w:cs="宋体"/>
          <w:b/>
          <w:szCs w:val="21"/>
        </w:rPr>
      </w:pPr>
      <w:bookmarkStart w:id="168" w:name="_Toc16316_WPSOffice_Level2"/>
      <w:bookmarkStart w:id="169" w:name="_Toc13234_WPSOffice_Level1"/>
      <w:r>
        <w:rPr>
          <w:rFonts w:hint="eastAsia" w:ascii="宋体" w:hAnsi="宋体" w:eastAsia="宋体" w:cs="宋体"/>
          <w:b/>
          <w:sz w:val="24"/>
          <w:szCs w:val="24"/>
          <w:lang w:eastAsia="zh-CN"/>
        </w:rPr>
        <w:t>十一</w:t>
      </w:r>
      <w:r>
        <w:rPr>
          <w:rFonts w:hint="eastAsia" w:ascii="宋体" w:hAnsi="宋体" w:eastAsia="宋体" w:cs="宋体"/>
          <w:b/>
          <w:sz w:val="24"/>
          <w:szCs w:val="24"/>
        </w:rPr>
        <w:t>、争议的解决</w:t>
      </w:r>
      <w:bookmarkEnd w:id="168"/>
      <w:bookmarkEnd w:id="169"/>
    </w:p>
    <w:p>
      <w:pPr>
        <w:tabs>
          <w:tab w:val="left" w:pos="851"/>
        </w:tabs>
        <w:spacing w:line="360" w:lineRule="auto"/>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 w:val="24"/>
          <w:szCs w:val="24"/>
        </w:rPr>
        <w:t>合同执行过程中发生的任何争议，如双方不能通过友好协商解决，按相关法律法规处理。</w:t>
      </w:r>
    </w:p>
    <w:p>
      <w:pPr>
        <w:tabs>
          <w:tab w:val="left" w:pos="851"/>
        </w:tabs>
        <w:spacing w:line="360" w:lineRule="auto"/>
        <w:rPr>
          <w:rFonts w:hint="eastAsia" w:ascii="宋体" w:hAnsi="宋体" w:eastAsia="宋体" w:cs="宋体"/>
          <w:b/>
          <w:szCs w:val="21"/>
        </w:rPr>
      </w:pPr>
      <w:bookmarkStart w:id="170" w:name="_Toc32013_WPSOffice_Level2"/>
      <w:bookmarkStart w:id="171" w:name="_Toc21358_WPSOffice_Level1"/>
      <w:r>
        <w:rPr>
          <w:rFonts w:hint="eastAsia" w:ascii="宋体" w:hAnsi="宋体" w:eastAsia="宋体" w:cs="宋体"/>
          <w:b/>
          <w:sz w:val="24"/>
          <w:szCs w:val="24"/>
        </w:rPr>
        <w:t>十</w:t>
      </w:r>
      <w:r>
        <w:rPr>
          <w:rFonts w:hint="eastAsia" w:ascii="宋体" w:hAnsi="宋体" w:eastAsia="宋体" w:cs="宋体"/>
          <w:b/>
          <w:sz w:val="24"/>
          <w:szCs w:val="24"/>
          <w:lang w:eastAsia="zh-CN"/>
        </w:rPr>
        <w:t>二</w:t>
      </w:r>
      <w:r>
        <w:rPr>
          <w:rFonts w:hint="eastAsia" w:ascii="宋体" w:hAnsi="宋体" w:eastAsia="宋体" w:cs="宋体"/>
          <w:b/>
          <w:sz w:val="24"/>
          <w:szCs w:val="24"/>
        </w:rPr>
        <w:t>、不可抗力</w:t>
      </w:r>
      <w:bookmarkEnd w:id="170"/>
      <w:bookmarkEnd w:id="171"/>
    </w:p>
    <w:p>
      <w:pPr>
        <w:tabs>
          <w:tab w:val="left" w:pos="851"/>
        </w:tabs>
        <w:spacing w:line="360" w:lineRule="auto"/>
        <w:rPr>
          <w:rFonts w:hint="eastAsia" w:ascii="宋体" w:hAnsi="宋体" w:eastAsia="宋体" w:cs="宋体"/>
          <w:szCs w:val="21"/>
        </w:rPr>
      </w:pPr>
      <w:r>
        <w:rPr>
          <w:rFonts w:hint="default" w:ascii="Times New Roman" w:hAnsi="Times New Roman" w:eastAsia="宋体" w:cs="Times New Roman"/>
          <w:sz w:val="24"/>
          <w:szCs w:val="24"/>
        </w:rPr>
        <w:t>1.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tabs>
          <w:tab w:val="left" w:pos="851"/>
        </w:tabs>
        <w:spacing w:line="360" w:lineRule="auto"/>
        <w:rPr>
          <w:rFonts w:hint="default" w:ascii="Times New Roman" w:hAnsi="Times New Roman" w:eastAsia="宋体" w:cs="Times New Roman"/>
          <w:sz w:val="24"/>
          <w:szCs w:val="24"/>
        </w:rPr>
      </w:pPr>
      <w:bookmarkStart w:id="172" w:name="_Toc23491_WPSOffice_Level1"/>
      <w:bookmarkStart w:id="173" w:name="_Toc19385_WPSOffice_Level2"/>
      <w:r>
        <w:rPr>
          <w:rFonts w:hint="default" w:ascii="Times New Roman" w:hAnsi="Times New Roman" w:eastAsia="宋体" w:cs="Times New Roman"/>
          <w:b/>
          <w:sz w:val="24"/>
          <w:szCs w:val="24"/>
        </w:rPr>
        <w:t>十</w:t>
      </w:r>
      <w:r>
        <w:rPr>
          <w:rFonts w:hint="default" w:ascii="Times New Roman" w:hAnsi="Times New Roman" w:eastAsia="宋体" w:cs="Times New Roman"/>
          <w:b/>
          <w:sz w:val="24"/>
          <w:szCs w:val="24"/>
          <w:lang w:eastAsia="zh-CN"/>
        </w:rPr>
        <w:t>三</w:t>
      </w:r>
      <w:r>
        <w:rPr>
          <w:rFonts w:hint="default" w:ascii="Times New Roman" w:hAnsi="Times New Roman" w:eastAsia="宋体" w:cs="Times New Roman"/>
          <w:b/>
          <w:sz w:val="24"/>
          <w:szCs w:val="24"/>
        </w:rPr>
        <w:t>、税费</w:t>
      </w:r>
      <w:bookmarkEnd w:id="172"/>
      <w:bookmarkEnd w:id="173"/>
    </w:p>
    <w:p>
      <w:pPr>
        <w:tabs>
          <w:tab w:val="left" w:pos="851"/>
        </w:tabs>
        <w:spacing w:line="360" w:lineRule="auto"/>
        <w:ind w:left="851" w:hanging="85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在中国境内、外发生的与本合同执行有关的一切税费均由乙方负担。</w:t>
      </w:r>
    </w:p>
    <w:p>
      <w:pPr>
        <w:tabs>
          <w:tab w:val="left" w:pos="851"/>
        </w:tabs>
        <w:spacing w:line="360" w:lineRule="auto"/>
        <w:rPr>
          <w:rFonts w:hint="default" w:ascii="Times New Roman" w:hAnsi="Times New Roman" w:eastAsia="宋体" w:cs="Times New Roman"/>
          <w:b/>
          <w:sz w:val="24"/>
          <w:szCs w:val="24"/>
        </w:rPr>
      </w:pPr>
      <w:bookmarkStart w:id="174" w:name="_Toc21387_WPSOffice_Level2"/>
      <w:bookmarkStart w:id="175" w:name="_Toc11294_WPSOffice_Level1"/>
      <w:r>
        <w:rPr>
          <w:rFonts w:hint="default" w:ascii="Times New Roman" w:hAnsi="Times New Roman" w:eastAsia="宋体" w:cs="Times New Roman"/>
          <w:b/>
          <w:sz w:val="24"/>
          <w:szCs w:val="24"/>
        </w:rPr>
        <w:t>十</w:t>
      </w:r>
      <w:r>
        <w:rPr>
          <w:rFonts w:hint="default" w:ascii="Times New Roman" w:hAnsi="Times New Roman" w:eastAsia="宋体" w:cs="Times New Roman"/>
          <w:b/>
          <w:sz w:val="24"/>
          <w:szCs w:val="24"/>
          <w:lang w:eastAsia="zh-CN"/>
        </w:rPr>
        <w:t>四</w:t>
      </w:r>
      <w:r>
        <w:rPr>
          <w:rFonts w:hint="default" w:ascii="Times New Roman" w:hAnsi="Times New Roman" w:eastAsia="宋体" w:cs="Times New Roman"/>
          <w:b/>
          <w:sz w:val="24"/>
          <w:szCs w:val="24"/>
        </w:rPr>
        <w:t>、其</w:t>
      </w:r>
      <w:bookmarkEnd w:id="174"/>
      <w:bookmarkEnd w:id="175"/>
      <w:r>
        <w:rPr>
          <w:rFonts w:hint="default" w:ascii="Times New Roman" w:hAnsi="Times New Roman" w:eastAsia="宋体" w:cs="Times New Roman"/>
          <w:b/>
          <w:sz w:val="24"/>
          <w:szCs w:val="24"/>
        </w:rPr>
        <w:t>他</w:t>
      </w:r>
    </w:p>
    <w:p>
      <w:pPr>
        <w:tabs>
          <w:tab w:val="left" w:pos="-540"/>
        </w:tabs>
        <w:spacing w:line="360" w:lineRule="auto"/>
        <w:ind w:left="-10" w:leftChars="-5" w:firstLine="9" w:firstLineChars="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1.本合同所有附件、谈判文件、谈判文件、成交通知书均为合同的有效组成部分，与本合同具有同等法律效力。</w:t>
      </w:r>
    </w:p>
    <w:p>
      <w:pPr>
        <w:tabs>
          <w:tab w:val="left" w:pos="-540"/>
        </w:tabs>
        <w:spacing w:line="360" w:lineRule="auto"/>
        <w:ind w:left="-10" w:leftChars="-5" w:firstLine="9" w:firstLineChars="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2.在执行本合同的过程中，所有经双方签署确认的文件（包括会议纪要、补充协议、往来信函）即成为本合同的有效组成部分。</w:t>
      </w:r>
    </w:p>
    <w:p>
      <w:pPr>
        <w:tabs>
          <w:tab w:val="left" w:pos="-540"/>
        </w:tabs>
        <w:spacing w:line="360" w:lineRule="auto"/>
        <w:ind w:left="-10" w:leftChars="-5" w:firstLine="9" w:firstLineChars="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3.如一方地址、电话、传真号码有变更，应在变更当日内书面通知对方，否则，应承担相应责任。</w:t>
      </w:r>
    </w:p>
    <w:p>
      <w:pPr>
        <w:tabs>
          <w:tab w:val="left" w:pos="-540"/>
        </w:tabs>
        <w:spacing w:line="360" w:lineRule="auto"/>
        <w:ind w:left="-10" w:leftChars="-5" w:firstLine="9" w:firstLineChars="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4.除甲方事先书面同意外，乙方不得部分或全部转让其应履行的合同项下的义务。</w:t>
      </w:r>
    </w:p>
    <w:p>
      <w:pPr>
        <w:tabs>
          <w:tab w:val="left" w:pos="851"/>
        </w:tabs>
        <w:spacing w:line="360" w:lineRule="auto"/>
        <w:rPr>
          <w:rFonts w:hint="default" w:ascii="Times New Roman" w:hAnsi="Times New Roman" w:eastAsia="宋体" w:cs="Times New Roman"/>
          <w:b/>
          <w:sz w:val="24"/>
          <w:szCs w:val="24"/>
        </w:rPr>
      </w:pPr>
      <w:bookmarkStart w:id="176" w:name="_Toc24366_WPSOffice_Level1"/>
      <w:bookmarkStart w:id="177" w:name="_Toc2435_WPSOffice_Level2"/>
      <w:r>
        <w:rPr>
          <w:rFonts w:hint="default" w:ascii="Times New Roman" w:hAnsi="Times New Roman" w:eastAsia="宋体" w:cs="Times New Roman"/>
          <w:b/>
          <w:sz w:val="24"/>
          <w:szCs w:val="24"/>
        </w:rPr>
        <w:t>十</w:t>
      </w:r>
      <w:r>
        <w:rPr>
          <w:rFonts w:hint="default" w:ascii="Times New Roman" w:hAnsi="Times New Roman" w:eastAsia="宋体" w:cs="Times New Roman"/>
          <w:b/>
          <w:sz w:val="24"/>
          <w:szCs w:val="24"/>
          <w:lang w:eastAsia="zh-CN"/>
        </w:rPr>
        <w:t>五</w:t>
      </w:r>
      <w:r>
        <w:rPr>
          <w:rFonts w:hint="default" w:ascii="Times New Roman" w:hAnsi="Times New Roman" w:eastAsia="宋体" w:cs="Times New Roman"/>
          <w:b/>
          <w:sz w:val="24"/>
          <w:szCs w:val="24"/>
        </w:rPr>
        <w:t>、合同生效</w:t>
      </w:r>
      <w:bookmarkEnd w:id="176"/>
      <w:bookmarkEnd w:id="177"/>
    </w:p>
    <w:p>
      <w:pPr>
        <w:tabs>
          <w:tab w:val="left" w:pos="851"/>
        </w:tabs>
        <w:spacing w:line="360" w:lineRule="auto"/>
        <w:ind w:left="851" w:hanging="851"/>
        <w:rPr>
          <w:rFonts w:hint="default" w:ascii="Times New Roman" w:hAnsi="Times New Roman" w:eastAsia="宋体" w:cs="Times New Roman"/>
          <w:sz w:val="24"/>
          <w:szCs w:val="24"/>
        </w:rPr>
      </w:pPr>
      <w:bookmarkStart w:id="178" w:name="_Toc22115_WPSOffice_Level3"/>
      <w:bookmarkStart w:id="179" w:name="_Toc16751_WPSOffice_Level2"/>
      <w:r>
        <w:rPr>
          <w:rFonts w:hint="default" w:ascii="Times New Roman" w:hAnsi="Times New Roman" w:eastAsia="宋体" w:cs="Times New Roman"/>
          <w:sz w:val="24"/>
          <w:szCs w:val="24"/>
        </w:rPr>
        <w:t>1.本合同在甲乙双方法人代表或其授权代表签字盖章后生效。</w:t>
      </w:r>
      <w:bookmarkEnd w:id="178"/>
      <w:bookmarkEnd w:id="179"/>
    </w:p>
    <w:p>
      <w:pPr>
        <w:tabs>
          <w:tab w:val="left" w:pos="851"/>
        </w:tabs>
        <w:spacing w:line="360" w:lineRule="auto"/>
        <w:ind w:left="851" w:hanging="851"/>
        <w:rPr>
          <w:rFonts w:hint="default" w:ascii="Times New Roman" w:hAnsi="Times New Roman" w:eastAsia="宋体" w:cs="Times New Roman"/>
          <w:sz w:val="24"/>
          <w:szCs w:val="24"/>
        </w:rPr>
      </w:pPr>
      <w:bookmarkStart w:id="180" w:name="_Toc3720_WPSOffice_Level2"/>
      <w:bookmarkStart w:id="181" w:name="_Toc8111_WPSOffice_Level3"/>
      <w:r>
        <w:rPr>
          <w:rFonts w:hint="default" w:ascii="Times New Roman" w:hAnsi="Times New Roman" w:eastAsia="宋体" w:cs="Times New Roman"/>
          <w:sz w:val="24"/>
          <w:szCs w:val="24"/>
        </w:rPr>
        <w:t>2.合同一式    份。</w:t>
      </w:r>
      <w:bookmarkEnd w:id="180"/>
      <w:bookmarkEnd w:id="181"/>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合同订立时间：   年  月   日</w:t>
      </w:r>
    </w:p>
    <w:p>
      <w:pPr>
        <w:adjustRightInd w:val="0"/>
        <w:snapToGrid w:val="0"/>
        <w:spacing w:before="120" w:beforeLines="50" w:line="360" w:lineRule="auto"/>
        <w:rPr>
          <w:rFonts w:hint="eastAsia" w:ascii="宋体" w:hAnsi="宋体" w:eastAsia="宋体" w:cs="宋体"/>
          <w:szCs w:val="21"/>
        </w:rPr>
      </w:pPr>
      <w:r>
        <w:rPr>
          <w:rFonts w:hint="default" w:ascii="Times New Roman" w:hAnsi="Times New Roman" w:eastAsia="宋体" w:cs="Times New Roman"/>
          <w:sz w:val="24"/>
          <w:szCs w:val="24"/>
        </w:rPr>
        <w:t>合同订立地点：</w:t>
      </w:r>
    </w:p>
    <w:p>
      <w:pPr>
        <w:adjustRightInd w:val="0"/>
        <w:snapToGrid w:val="0"/>
        <w:spacing w:before="120" w:beforeLines="50" w:line="360" w:lineRule="auto"/>
        <w:rPr>
          <w:rFonts w:hint="eastAsia" w:ascii="宋体" w:hAnsi="宋体" w:eastAsia="宋体" w:cs="宋体"/>
          <w:szCs w:val="21"/>
        </w:rPr>
      </w:pPr>
    </w:p>
    <w:p>
      <w:pPr>
        <w:widowControl w:val="0"/>
        <w:spacing w:line="360" w:lineRule="auto"/>
        <w:ind w:firstLine="480" w:firstLineChars="200"/>
        <w:jc w:val="both"/>
        <w:rPr>
          <w:rFonts w:hint="eastAsia" w:ascii="宋体" w:hAnsi="宋体" w:eastAsia="宋体" w:cs="宋体"/>
          <w:kern w:val="0"/>
          <w:sz w:val="24"/>
          <w:szCs w:val="24"/>
          <w:lang w:val="en-US" w:eastAsia="zh-CN" w:bidi="ar-SA"/>
        </w:rPr>
      </w:pPr>
    </w:p>
    <w:tbl>
      <w:tblPr>
        <w:tblStyle w:val="15"/>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4"/>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9" w:hRule="atLeast"/>
        </w:trPr>
        <w:tc>
          <w:tcPr>
            <w:tcW w:w="4874" w:type="dxa"/>
            <w:noWrap/>
          </w:tcPr>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甲方（盖章）：</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法定代表人：</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委托代理人：</w:t>
            </w:r>
          </w:p>
          <w:p>
            <w:pPr>
              <w:adjustRightInd w:val="0"/>
              <w:snapToGrid w:val="0"/>
              <w:spacing w:before="120" w:beforeLines="50"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联系电话：</w:t>
            </w:r>
          </w:p>
          <w:p>
            <w:pPr>
              <w:adjustRightInd w:val="0"/>
              <w:snapToGrid w:val="0"/>
              <w:spacing w:before="120" w:beforeLines="50"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单位地址：</w:t>
            </w:r>
          </w:p>
          <w:p>
            <w:pPr>
              <w:adjustRightInd w:val="0"/>
              <w:snapToGrid w:val="0"/>
              <w:spacing w:before="120" w:beforeLines="50" w:line="360" w:lineRule="auto"/>
              <w:ind w:firstLine="420" w:firstLineChars="200"/>
              <w:rPr>
                <w:rFonts w:hint="eastAsia" w:ascii="宋体" w:hAnsi="宋体" w:eastAsia="宋体" w:cs="宋体"/>
                <w:szCs w:val="21"/>
              </w:rPr>
            </w:pPr>
          </w:p>
        </w:tc>
        <w:tc>
          <w:tcPr>
            <w:tcW w:w="4078" w:type="dxa"/>
            <w:noWrap/>
          </w:tcPr>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乙方（盖章）：</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法定代表人：</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委托代理人：</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联系电话：</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单位地址：</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开户银行：</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账    号：</w:t>
            </w:r>
          </w:p>
        </w:tc>
      </w:tr>
    </w:tbl>
    <w:p>
      <w:pPr>
        <w:keepNext/>
        <w:keepLines/>
        <w:widowControl w:val="0"/>
        <w:tabs>
          <w:tab w:val="left" w:pos="360"/>
        </w:tabs>
        <w:adjustRightInd w:val="0"/>
        <w:spacing w:before="120" w:line="360" w:lineRule="auto"/>
        <w:ind w:left="0" w:firstLine="0"/>
        <w:jc w:val="center"/>
        <w:textAlignment w:val="baseline"/>
        <w:outlineLvl w:val="0"/>
        <w:rPr>
          <w:rFonts w:hint="eastAsia" w:ascii="宋体" w:hAnsi="宋体" w:eastAsia="宋体" w:cs="宋体"/>
          <w:b/>
          <w:bCs/>
          <w:kern w:val="44"/>
          <w:sz w:val="32"/>
          <w:szCs w:val="32"/>
          <w:lang w:val="en-US" w:eastAsia="zh-CN" w:bidi="ar-SA"/>
        </w:rPr>
        <w:sectPr>
          <w:pgSz w:w="11906" w:h="16838"/>
          <w:pgMar w:top="1418" w:right="1134" w:bottom="1134" w:left="1417" w:header="936" w:footer="720" w:gutter="0"/>
          <w:cols w:space="720" w:num="1"/>
          <w:docGrid w:linePitch="331" w:charSpace="0"/>
        </w:sectPr>
      </w:pPr>
      <w:bookmarkStart w:id="182" w:name="_Toc27123_WPSOffice_Level2"/>
      <w:bookmarkStart w:id="183" w:name="_Toc22115_WPSOffice_Level1"/>
      <w:bookmarkStart w:id="184" w:name="_Toc60996686"/>
      <w:bookmarkStart w:id="185" w:name="_第四章__投标文件格式"/>
    </w:p>
    <w:p>
      <w:pPr>
        <w:pStyle w:val="4"/>
        <w:bidi w:val="0"/>
        <w:jc w:val="center"/>
        <w:rPr>
          <w:rFonts w:hint="default" w:ascii="Times New Roman" w:hAnsi="Times New Roman" w:cs="Times New Roman"/>
          <w:lang w:val="en-US" w:eastAsia="zh-CN"/>
        </w:rPr>
      </w:pPr>
      <w:bookmarkStart w:id="186" w:name="_Toc28978"/>
      <w:r>
        <w:rPr>
          <w:rFonts w:hint="default" w:ascii="Times New Roman" w:hAnsi="Times New Roman" w:cs="Times New Roman"/>
          <w:lang w:val="en-US" w:eastAsia="zh-CN"/>
        </w:rPr>
        <w:t>第四章  响应文件格式</w:t>
      </w:r>
      <w:bookmarkEnd w:id="182"/>
      <w:bookmarkEnd w:id="183"/>
      <w:bookmarkEnd w:id="184"/>
      <w:bookmarkEnd w:id="186"/>
    </w:p>
    <w:bookmarkEnd w:id="185"/>
    <w:p>
      <w:pPr>
        <w:keepNext/>
        <w:keepLines/>
        <w:widowControl w:val="0"/>
        <w:tabs>
          <w:tab w:val="left" w:pos="360"/>
        </w:tabs>
        <w:adjustRightInd w:val="0"/>
        <w:spacing w:before="120" w:line="360" w:lineRule="auto"/>
        <w:ind w:left="0" w:firstLine="0"/>
        <w:jc w:val="center"/>
        <w:textAlignment w:val="baseline"/>
        <w:outlineLvl w:val="0"/>
        <w:rPr>
          <w:rFonts w:hint="eastAsia" w:ascii="宋体" w:hAnsi="宋体" w:eastAsia="宋体" w:cs="宋体"/>
          <w:b/>
          <w:bCs/>
          <w:kern w:val="44"/>
          <w:sz w:val="32"/>
          <w:szCs w:val="32"/>
          <w:lang w:val="en-US" w:eastAsia="zh-CN" w:bidi="ar-SA"/>
        </w:rPr>
      </w:pPr>
      <w:bookmarkStart w:id="187" w:name="_Toc17533_WPSOffice_Level2"/>
      <w:bookmarkStart w:id="188" w:name="_Toc30986_WPSOffice_Level3"/>
      <w:r>
        <w:rPr>
          <w:rFonts w:hint="eastAsia" w:ascii="宋体" w:hAnsi="宋体" w:eastAsia="宋体" w:cs="宋体"/>
          <w:b/>
          <w:bCs/>
          <w:kern w:val="44"/>
          <w:sz w:val="32"/>
          <w:szCs w:val="32"/>
          <w:lang w:val="en-US" w:eastAsia="zh-CN" w:bidi="ar-SA"/>
        </w:rPr>
        <w:t xml:space="preserve">     </w:t>
      </w:r>
    </w:p>
    <w:p>
      <w:pPr>
        <w:bidi w:val="0"/>
        <w:jc w:val="center"/>
        <w:rPr>
          <w:rFonts w:hint="eastAsia"/>
          <w:b/>
          <w:bCs/>
          <w:sz w:val="36"/>
          <w:szCs w:val="36"/>
          <w:lang w:val="en-US" w:eastAsia="zh-CN"/>
        </w:rPr>
      </w:pPr>
      <w:r>
        <w:rPr>
          <w:rFonts w:hint="eastAsia"/>
          <w:b/>
          <w:bCs/>
          <w:sz w:val="36"/>
          <w:szCs w:val="36"/>
          <w:lang w:val="en-US" w:eastAsia="zh-CN"/>
        </w:rPr>
        <w:t>楚雄医药高等专科学校人民武装部试点建设物资采购项目</w:t>
      </w:r>
    </w:p>
    <w:bookmarkEnd w:id="187"/>
    <w:bookmarkEnd w:id="188"/>
    <w:p>
      <w:pPr>
        <w:keepNext/>
        <w:keepLines/>
        <w:widowControl w:val="0"/>
        <w:tabs>
          <w:tab w:val="left" w:pos="360"/>
        </w:tabs>
        <w:adjustRightInd w:val="0"/>
        <w:spacing w:before="120" w:line="360" w:lineRule="auto"/>
        <w:ind w:left="0" w:firstLine="0"/>
        <w:jc w:val="center"/>
        <w:textAlignment w:val="baseline"/>
        <w:outlineLvl w:val="0"/>
        <w:rPr>
          <w:rFonts w:hint="eastAsia" w:ascii="宋体" w:hAnsi="宋体" w:eastAsia="宋体" w:cs="宋体"/>
          <w:b/>
          <w:bCs/>
          <w:kern w:val="44"/>
          <w:sz w:val="32"/>
          <w:szCs w:val="32"/>
          <w:lang w:val="en-US" w:eastAsia="zh-CN" w:bidi="ar-SA"/>
        </w:rPr>
      </w:pPr>
    </w:p>
    <w:p>
      <w:pPr>
        <w:spacing w:line="360" w:lineRule="auto"/>
        <w:jc w:val="both"/>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widowControl w:val="0"/>
        <w:spacing w:line="360" w:lineRule="auto"/>
        <w:jc w:val="center"/>
        <w:rPr>
          <w:rFonts w:hint="eastAsia" w:ascii="宋体" w:hAnsi="宋体" w:eastAsia="宋体" w:cs="宋体"/>
          <w:sz w:val="24"/>
        </w:rPr>
      </w:pPr>
      <w:r>
        <w:rPr>
          <w:rFonts w:hint="eastAsia" w:ascii="宋体" w:hAnsi="宋体" w:eastAsia="宋体" w:cs="宋体"/>
          <w:b/>
          <w:kern w:val="2"/>
          <w:sz w:val="84"/>
          <w:szCs w:val="84"/>
          <w:lang w:val="en-US" w:eastAsia="zh-CN" w:bidi="ar-SA"/>
        </w:rPr>
        <w:t>响应文件</w:t>
      </w:r>
    </w:p>
    <w:p>
      <w:pPr>
        <w:widowControl w:val="0"/>
        <w:spacing w:line="360" w:lineRule="auto"/>
        <w:ind w:firstLine="2530" w:firstLineChars="900"/>
        <w:jc w:val="both"/>
        <w:rPr>
          <w:rFonts w:hint="eastAsia" w:ascii="宋体" w:hAnsi="宋体" w:eastAsia="宋体" w:cs="宋体"/>
          <w:b/>
          <w:kern w:val="2"/>
          <w:sz w:val="28"/>
          <w:szCs w:val="28"/>
          <w:lang w:val="en-US" w:eastAsia="zh-CN" w:bidi="ar-SA"/>
        </w:rPr>
      </w:pPr>
      <w:bookmarkStart w:id="189" w:name="_Toc25325_WPSOffice_Level3"/>
      <w:r>
        <w:rPr>
          <w:rFonts w:hint="eastAsia" w:ascii="宋体" w:hAnsi="宋体" w:eastAsia="宋体" w:cs="宋体"/>
          <w:b/>
          <w:kern w:val="2"/>
          <w:sz w:val="28"/>
          <w:szCs w:val="28"/>
          <w:lang w:val="en-US" w:eastAsia="zh-CN" w:bidi="ar-SA"/>
        </w:rPr>
        <w:t>项目编号：</w:t>
      </w:r>
      <w:bookmarkEnd w:id="189"/>
      <w:r>
        <w:rPr>
          <w:rFonts w:hint="eastAsia" w:ascii="宋体" w:hAnsi="宋体" w:eastAsia="宋体" w:cs="宋体"/>
          <w:b/>
          <w:kern w:val="2"/>
          <w:sz w:val="28"/>
          <w:szCs w:val="28"/>
          <w:lang w:val="en-US" w:eastAsia="zh-CN" w:bidi="ar-SA"/>
        </w:rPr>
        <w:t>CXYZC【2022】第15号</w:t>
      </w:r>
    </w:p>
    <w:p>
      <w:pPr>
        <w:widowControl w:val="0"/>
        <w:spacing w:line="360" w:lineRule="auto"/>
        <w:ind w:firstLine="3058" w:firstLineChars="1088"/>
        <w:jc w:val="both"/>
        <w:rPr>
          <w:rFonts w:hint="eastAsia" w:ascii="宋体" w:hAnsi="宋体" w:eastAsia="宋体" w:cs="宋体"/>
          <w:b/>
          <w:kern w:val="2"/>
          <w:sz w:val="28"/>
          <w:szCs w:val="28"/>
          <w:u w:val="single"/>
          <w:lang w:val="en-US" w:eastAsia="zh-CN" w:bidi="ar-SA"/>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ind w:firstLine="2220" w:firstLineChars="925"/>
        <w:rPr>
          <w:rFonts w:hint="eastAsia" w:ascii="宋体" w:hAnsi="宋体" w:eastAsia="宋体" w:cs="宋体"/>
          <w:sz w:val="24"/>
        </w:rPr>
      </w:pPr>
      <w:r>
        <w:rPr>
          <w:rFonts w:hint="eastAsia" w:ascii="宋体" w:hAnsi="宋体" w:eastAsia="宋体" w:cs="宋体"/>
          <w:sz w:val="24"/>
        </w:rPr>
        <w:t>供应商：（盖单位公章）</w:t>
      </w:r>
    </w:p>
    <w:p>
      <w:pPr>
        <w:spacing w:line="360" w:lineRule="auto"/>
        <w:ind w:firstLine="2220" w:firstLineChars="925"/>
        <w:rPr>
          <w:rFonts w:hint="eastAsia" w:ascii="宋体" w:hAnsi="宋体" w:eastAsia="宋体" w:cs="宋体"/>
          <w:sz w:val="24"/>
        </w:rPr>
      </w:pPr>
      <w:r>
        <w:rPr>
          <w:rFonts w:hint="eastAsia" w:ascii="宋体" w:hAnsi="宋体" w:eastAsia="宋体" w:cs="宋体"/>
          <w:sz w:val="24"/>
        </w:rPr>
        <w:t>法定代表人：（签名或盖章）</w:t>
      </w:r>
    </w:p>
    <w:p>
      <w:pPr>
        <w:spacing w:line="360" w:lineRule="auto"/>
        <w:ind w:firstLine="1980" w:firstLineChars="825"/>
        <w:jc w:val="center"/>
        <w:rPr>
          <w:rFonts w:hint="eastAsia" w:ascii="宋体" w:hAnsi="宋体" w:eastAsia="宋体" w:cs="宋体"/>
          <w:sz w:val="24"/>
        </w:rPr>
      </w:pPr>
    </w:p>
    <w:p>
      <w:pPr>
        <w:spacing w:line="360" w:lineRule="auto"/>
        <w:ind w:firstLine="2580" w:firstLineChars="1075"/>
        <w:rPr>
          <w:rFonts w:hint="eastAsia" w:ascii="宋体" w:hAnsi="宋体" w:eastAsia="宋体" w:cs="宋体"/>
          <w:sz w:val="24"/>
        </w:rPr>
        <w:sectPr>
          <w:pgSz w:w="11906" w:h="16838"/>
          <w:pgMar w:top="1418" w:right="1134" w:bottom="1134" w:left="1417" w:header="936" w:footer="720" w:gutter="0"/>
          <w:cols w:space="720" w:num="1"/>
          <w:docGrid w:linePitch="331" w:charSpace="0"/>
        </w:sectPr>
      </w:pPr>
      <w:r>
        <w:rPr>
          <w:rFonts w:hint="eastAsia" w:ascii="宋体" w:hAnsi="宋体" w:eastAsia="宋体" w:cs="宋体"/>
          <w:sz w:val="24"/>
        </w:rPr>
        <w:t>年    月   日</w:t>
      </w:r>
      <w:bookmarkStart w:id="190" w:name="_Toc396"/>
    </w:p>
    <w:p>
      <w:pPr>
        <w:pStyle w:val="5"/>
        <w:bidi w:val="0"/>
        <w:jc w:val="center"/>
        <w:rPr>
          <w:rFonts w:hint="eastAsia" w:ascii="宋体" w:hAnsi="宋体" w:eastAsia="宋体" w:cs="宋体"/>
          <w:b/>
          <w:bCs/>
          <w:szCs w:val="32"/>
        </w:rPr>
      </w:pPr>
      <w:bookmarkStart w:id="191" w:name="_Toc1231"/>
      <w:bookmarkStart w:id="192" w:name="_Toc60996687"/>
      <w:r>
        <w:rPr>
          <w:rFonts w:hint="default" w:ascii="Times New Roman" w:hAnsi="Times New Roman" w:eastAsia="宋体" w:cs="Times New Roman"/>
          <w:lang w:val="en-US" w:eastAsia="zh-CN"/>
        </w:rPr>
        <w:t xml:space="preserve">4.1 </w:t>
      </w:r>
      <w:r>
        <w:rPr>
          <w:rFonts w:hint="default" w:ascii="Times New Roman" w:hAnsi="Times New Roman" w:eastAsia="宋体" w:cs="Times New Roman"/>
        </w:rPr>
        <w:t>谈判响应函</w:t>
      </w:r>
      <w:bookmarkEnd w:id="191"/>
    </w:p>
    <w:p>
      <w:pPr>
        <w:spacing w:line="336" w:lineRule="auto"/>
        <w:jc w:val="left"/>
        <w:rPr>
          <w:rFonts w:hint="eastAsia" w:ascii="宋体" w:hAnsi="宋体" w:eastAsia="宋体" w:cs="宋体"/>
          <w:szCs w:val="21"/>
        </w:rPr>
      </w:pPr>
      <w:r>
        <w:rPr>
          <w:rFonts w:hint="eastAsia" w:ascii="宋体" w:hAnsi="宋体" w:eastAsia="宋体" w:cs="宋体"/>
          <w:szCs w:val="21"/>
        </w:rPr>
        <w:t>致：</w:t>
      </w:r>
    </w:p>
    <w:p>
      <w:pPr>
        <w:adjustRightInd w:val="0"/>
        <w:snapToGrid w:val="0"/>
        <w:spacing w:before="120" w:beforeLines="50" w:line="360" w:lineRule="auto"/>
        <w:ind w:firstLine="435"/>
        <w:rPr>
          <w:rFonts w:hint="eastAsia" w:ascii="宋体" w:hAnsi="宋体" w:eastAsia="宋体" w:cs="宋体"/>
          <w:szCs w:val="21"/>
        </w:rPr>
      </w:pPr>
      <w:r>
        <w:rPr>
          <w:rFonts w:hint="eastAsia" w:ascii="宋体" w:hAnsi="宋体" w:eastAsia="宋体" w:cs="宋体"/>
          <w:szCs w:val="21"/>
        </w:rPr>
        <w:t>根据贵方为</w:t>
      </w:r>
      <w:r>
        <w:rPr>
          <w:rFonts w:hint="eastAsia" w:ascii="宋体" w:hAnsi="宋体" w:eastAsia="宋体" w:cs="宋体"/>
          <w:szCs w:val="21"/>
          <w:u w:val="single"/>
        </w:rPr>
        <w:t xml:space="preserve">             </w:t>
      </w:r>
      <w:r>
        <w:rPr>
          <w:rFonts w:hint="eastAsia" w:ascii="宋体" w:hAnsi="宋体" w:eastAsia="宋体" w:cs="宋体"/>
          <w:szCs w:val="21"/>
        </w:rPr>
        <w:t>（项目名称）的谈判邀请（项目编号：</w:t>
      </w:r>
      <w:r>
        <w:rPr>
          <w:rFonts w:hint="eastAsia" w:ascii="宋体" w:hAnsi="宋体" w:eastAsia="宋体" w:cs="宋体"/>
          <w:szCs w:val="21"/>
          <w:u w:val="single"/>
        </w:rPr>
        <w:t xml:space="preserve">         </w:t>
      </w:r>
      <w:r>
        <w:rPr>
          <w:rFonts w:hint="eastAsia" w:ascii="宋体" w:hAnsi="宋体" w:eastAsia="宋体" w:cs="宋体"/>
          <w:szCs w:val="21"/>
        </w:rPr>
        <w:t xml:space="preserve">，签字代表 </w:t>
      </w:r>
      <w:r>
        <w:rPr>
          <w:rFonts w:hint="eastAsia" w:ascii="宋体" w:hAnsi="宋体" w:eastAsia="宋体" w:cs="宋体"/>
          <w:szCs w:val="21"/>
          <w:u w:val="single"/>
        </w:rPr>
        <w:t xml:space="preserve">        </w:t>
      </w:r>
      <w:r>
        <w:rPr>
          <w:rFonts w:hint="eastAsia" w:ascii="宋体" w:hAnsi="宋体" w:eastAsia="宋体" w:cs="宋体"/>
          <w:szCs w:val="21"/>
        </w:rPr>
        <w:t>（姓名、职务）经正式授权并代表投标人</w:t>
      </w:r>
      <w:r>
        <w:rPr>
          <w:rFonts w:hint="eastAsia" w:ascii="宋体" w:hAnsi="宋体" w:eastAsia="宋体" w:cs="宋体"/>
          <w:szCs w:val="21"/>
          <w:u w:val="single"/>
        </w:rPr>
        <w:t xml:space="preserve">       </w:t>
      </w:r>
      <w:r>
        <w:rPr>
          <w:rFonts w:hint="eastAsia" w:ascii="宋体" w:hAnsi="宋体" w:eastAsia="宋体" w:cs="宋体"/>
          <w:szCs w:val="21"/>
        </w:rPr>
        <w:t xml:space="preserve"> （投标人名称、地址）提交下述文件正本一份、副本一份并在此声明，所递交的谈判文件内容完整、真实。</w:t>
      </w:r>
    </w:p>
    <w:p>
      <w:pPr>
        <w:adjustRightInd w:val="0"/>
        <w:snapToGrid w:val="0"/>
        <w:spacing w:before="120" w:beforeLines="50" w:line="360" w:lineRule="auto"/>
        <w:ind w:firstLine="420" w:firstLineChars="200"/>
        <w:jc w:val="left"/>
        <w:rPr>
          <w:rFonts w:hint="eastAsia" w:ascii="宋体" w:hAnsi="宋体" w:eastAsia="宋体" w:cs="宋体"/>
          <w:szCs w:val="21"/>
        </w:rPr>
      </w:pPr>
      <w:r>
        <w:rPr>
          <w:rFonts w:hint="eastAsia" w:ascii="宋体" w:hAnsi="宋体" w:eastAsia="宋体" w:cs="宋体"/>
          <w:szCs w:val="21"/>
        </w:rPr>
        <w:t xml:space="preserve">1、商务文件：谈判函、开标一览表、分项价格表、商务条款响应/偏离表、谈判资格证明文件、谈判保证金； </w:t>
      </w:r>
    </w:p>
    <w:p>
      <w:pPr>
        <w:adjustRightInd w:val="0"/>
        <w:snapToGrid w:val="0"/>
        <w:spacing w:before="120" w:beforeLines="50" w:line="360" w:lineRule="auto"/>
        <w:ind w:firstLine="420" w:firstLineChars="200"/>
        <w:jc w:val="left"/>
        <w:rPr>
          <w:rFonts w:hint="eastAsia" w:ascii="宋体" w:hAnsi="宋体" w:eastAsia="宋体" w:cs="宋体"/>
          <w:szCs w:val="21"/>
        </w:rPr>
      </w:pPr>
      <w:r>
        <w:rPr>
          <w:rFonts w:hint="eastAsia" w:ascii="宋体" w:hAnsi="宋体" w:eastAsia="宋体" w:cs="宋体"/>
          <w:szCs w:val="21"/>
        </w:rPr>
        <w:t>2、技术文件：货物说明一览表、技术规格响应/偏离表、谈判货物符合谈判文件规定的证明文件。</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在此，签字代表宣布同意如下：</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1、所附谈判价格表中规定的应提交和交付的货物和服务谈判总价为：</w:t>
      </w:r>
      <w:r>
        <w:rPr>
          <w:rFonts w:hint="eastAsia" w:ascii="宋体" w:hAnsi="宋体" w:eastAsia="宋体" w:cs="宋体"/>
          <w:szCs w:val="21"/>
          <w:u w:val="single"/>
        </w:rPr>
        <w:t xml:space="preserve">          </w:t>
      </w:r>
      <w:r>
        <w:rPr>
          <w:rFonts w:hint="eastAsia" w:ascii="宋体" w:hAnsi="宋体" w:eastAsia="宋体" w:cs="宋体"/>
          <w:szCs w:val="21"/>
        </w:rPr>
        <w:t>(人民币大写)。</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2、投标人将按谈判文件的规定履行合同责任和义务。</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3、投标人已详细审查全部谈判文件。我们完全理解并同意放弃对这方面有不明及误解的权利。</w:t>
      </w:r>
    </w:p>
    <w:p>
      <w:pPr>
        <w:adjustRightInd w:val="0"/>
        <w:snapToGrid w:val="0"/>
        <w:spacing w:before="120" w:beforeLines="50" w:line="360" w:lineRule="auto"/>
        <w:ind w:firstLine="420" w:firstLineChars="200"/>
        <w:rPr>
          <w:rFonts w:hint="eastAsia" w:ascii="宋体" w:hAnsi="宋体" w:eastAsia="宋体" w:cs="宋体"/>
        </w:rPr>
      </w:pPr>
      <w:r>
        <w:rPr>
          <w:rFonts w:hint="eastAsia" w:ascii="宋体" w:hAnsi="宋体" w:eastAsia="宋体" w:cs="宋体"/>
          <w:szCs w:val="21"/>
        </w:rPr>
        <w:t>4、本谈判有效期为自谈判文件规定的提交谈判文件截止之日起</w:t>
      </w:r>
      <w:r>
        <w:rPr>
          <w:rFonts w:hint="eastAsia" w:ascii="宋体" w:hAnsi="宋体" w:eastAsia="宋体" w:cs="宋体"/>
          <w:szCs w:val="21"/>
          <w:u w:val="single"/>
        </w:rPr>
        <w:t xml:space="preserve">      </w:t>
      </w:r>
      <w:r>
        <w:rPr>
          <w:rFonts w:hint="eastAsia" w:ascii="宋体" w:hAnsi="宋体" w:eastAsia="宋体" w:cs="宋体"/>
          <w:szCs w:val="21"/>
        </w:rPr>
        <w:t>个日历日。在谈判有效期内</w:t>
      </w:r>
      <w:r>
        <w:rPr>
          <w:rFonts w:hint="eastAsia" w:ascii="宋体" w:hAnsi="宋体" w:eastAsia="宋体" w:cs="宋体"/>
        </w:rPr>
        <w:t>我方同意遵守本</w:t>
      </w:r>
      <w:r>
        <w:rPr>
          <w:rFonts w:hint="eastAsia" w:ascii="宋体" w:hAnsi="宋体" w:eastAsia="宋体" w:cs="宋体"/>
          <w:szCs w:val="21"/>
        </w:rPr>
        <w:t>谈判</w:t>
      </w:r>
      <w:r>
        <w:rPr>
          <w:rFonts w:hint="eastAsia" w:ascii="宋体" w:hAnsi="宋体" w:eastAsia="宋体" w:cs="宋体"/>
        </w:rPr>
        <w:t>文件中的承诺且在此期限期满之前</w:t>
      </w:r>
      <w:r>
        <w:rPr>
          <w:rFonts w:hint="eastAsia" w:ascii="宋体" w:hAnsi="宋体" w:eastAsia="宋体" w:cs="宋体"/>
          <w:szCs w:val="21"/>
        </w:rPr>
        <w:t>谈判</w:t>
      </w:r>
      <w:r>
        <w:rPr>
          <w:rFonts w:hint="eastAsia" w:ascii="宋体" w:hAnsi="宋体" w:eastAsia="宋体" w:cs="宋体"/>
        </w:rPr>
        <w:t>文件</w:t>
      </w:r>
      <w:r>
        <w:rPr>
          <w:rFonts w:hint="eastAsia" w:ascii="宋体" w:hAnsi="宋体" w:eastAsia="宋体" w:cs="宋体"/>
          <w:szCs w:val="21"/>
        </w:rPr>
        <w:t>对我方具有法律约束力</w:t>
      </w:r>
      <w:r>
        <w:rPr>
          <w:rFonts w:hint="eastAsia" w:ascii="宋体" w:hAnsi="宋体" w:eastAsia="宋体" w:cs="宋体"/>
        </w:rPr>
        <w:t>。</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5、根据第二章“谈判须知”规定，我方承诺：</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(1) 我们在参加本项目政府采购活动前三年内，在经营活动中没有违背法律的行为，并提供“参加政府采购活动前三年内在经营活动中没有重大违法记录的书面声明”；</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(2) 我们依照有关法律的规定，没有偷税、漏税的行为，没有逃避缴纳社会保险资金的行为；</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(3) 与采购人</w:t>
      </w:r>
      <w:r>
        <w:rPr>
          <w:rFonts w:hint="eastAsia" w:ascii="宋体" w:hAnsi="宋体" w:eastAsia="宋体" w:cs="宋体"/>
          <w:bCs/>
          <w:szCs w:val="21"/>
        </w:rPr>
        <w:t>无任何的隶属关系或者其他利害关系</w:t>
      </w:r>
      <w:r>
        <w:rPr>
          <w:rFonts w:hint="eastAsia" w:ascii="宋体" w:hAnsi="宋体" w:eastAsia="宋体" w:cs="宋体"/>
          <w:szCs w:val="21"/>
        </w:rPr>
        <w:t>。</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6、同意提供贵方可能要求的与其谈判有关的一切数据或资料。 </w:t>
      </w:r>
    </w:p>
    <w:p>
      <w:pPr>
        <w:adjustRightInd w:val="0"/>
        <w:snapToGrid w:val="0"/>
        <w:spacing w:before="120" w:beforeLines="50" w:line="360" w:lineRule="auto"/>
        <w:ind w:firstLine="420" w:firstLineChars="200"/>
        <w:rPr>
          <w:rFonts w:hint="eastAsia" w:ascii="宋体" w:hAnsi="宋体" w:eastAsia="宋体" w:cs="宋体"/>
          <w:szCs w:val="21"/>
        </w:rPr>
      </w:pPr>
      <w:r>
        <w:rPr>
          <w:rFonts w:hint="eastAsia" w:ascii="宋体" w:hAnsi="宋体" w:eastAsia="宋体" w:cs="宋体"/>
          <w:szCs w:val="21"/>
        </w:rPr>
        <w:t>7、废标后，在收到贵方的通知后，我方本谈判函及所有谈判文件中声明、授权、承诺、盖章签字等，对于贵方采用竞争性谈判采购仍然有效。我方遵守贵方谈判文件关于特殊情形采用竞争性谈判采购的有关规定，并无异议。</w:t>
      </w:r>
    </w:p>
    <w:p>
      <w:pPr>
        <w:widowControl w:val="0"/>
        <w:adjustRightInd w:val="0"/>
        <w:snapToGrid w:val="0"/>
        <w:spacing w:before="120" w:beforeLines="50" w:line="360" w:lineRule="auto"/>
        <w:jc w:val="both"/>
        <w:rPr>
          <w:rFonts w:hint="eastAsia" w:ascii="宋体" w:hAnsi="宋体" w:eastAsia="宋体" w:cs="宋体"/>
          <w:kern w:val="2"/>
          <w:sz w:val="21"/>
          <w:szCs w:val="20"/>
          <w:lang w:val="en-US" w:eastAsia="zh-CN" w:bidi="ar-SA"/>
        </w:rPr>
      </w:pPr>
      <w:r>
        <w:rPr>
          <w:rFonts w:hint="eastAsia" w:ascii="宋体" w:hAnsi="宋体" w:eastAsia="宋体" w:cs="宋体"/>
          <w:kern w:val="2"/>
          <w:sz w:val="21"/>
          <w:szCs w:val="20"/>
          <w:lang w:val="en-US" w:eastAsia="zh-CN" w:bidi="ar-SA"/>
        </w:rPr>
        <w:t>投标人名称(盖章)：</w:t>
      </w:r>
    </w:p>
    <w:p>
      <w:pPr>
        <w:adjustRightInd w:val="0"/>
        <w:snapToGrid w:val="0"/>
        <w:spacing w:before="120" w:beforeLines="50" w:line="360" w:lineRule="auto"/>
        <w:rPr>
          <w:rFonts w:hint="eastAsia" w:ascii="宋体" w:hAnsi="宋体" w:eastAsia="宋体" w:cs="宋体"/>
          <w:szCs w:val="21"/>
          <w:u w:val="single"/>
        </w:rPr>
      </w:pPr>
      <w:r>
        <w:rPr>
          <w:rFonts w:hint="eastAsia" w:ascii="宋体" w:hAnsi="宋体" w:eastAsia="宋体" w:cs="宋体"/>
          <w:szCs w:val="21"/>
        </w:rPr>
        <w:t>法定代表人或其授权的代理人(签字)：</w:t>
      </w:r>
      <w:r>
        <w:rPr>
          <w:rFonts w:hint="eastAsia" w:ascii="宋体" w:hAnsi="宋体" w:eastAsia="宋体" w:cs="宋体"/>
          <w:szCs w:val="21"/>
          <w:u w:val="single"/>
        </w:rPr>
        <w:t xml:space="preserve">               </w:t>
      </w:r>
    </w:p>
    <w:p>
      <w:pPr>
        <w:adjustRightInd w:val="0"/>
        <w:snapToGrid w:val="0"/>
        <w:spacing w:before="120" w:beforeLines="50" w:line="360" w:lineRule="auto"/>
        <w:rPr>
          <w:rFonts w:hint="eastAsia" w:ascii="宋体" w:hAnsi="宋体" w:eastAsia="宋体" w:cs="宋体"/>
          <w:szCs w:val="21"/>
        </w:rPr>
        <w:sectPr>
          <w:pgSz w:w="11906" w:h="16838"/>
          <w:pgMar w:top="1418" w:right="1134" w:bottom="1134" w:left="1417" w:header="936" w:footer="720" w:gutter="0"/>
          <w:cols w:space="720" w:num="1"/>
          <w:docGrid w:linePitch="331" w:charSpace="0"/>
        </w:sect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bookmarkEnd w:id="190"/>
      <w:bookmarkEnd w:id="192"/>
    </w:p>
    <w:p>
      <w:pPr>
        <w:pStyle w:val="5"/>
        <w:bidi w:val="0"/>
        <w:jc w:val="center"/>
        <w:rPr>
          <w:rFonts w:hint="default" w:ascii="Times New Roman" w:hAnsi="Times New Roman" w:eastAsia="宋体" w:cs="Times New Roman"/>
        </w:rPr>
      </w:pPr>
      <w:bookmarkStart w:id="193" w:name="_Toc8602"/>
      <w:r>
        <w:rPr>
          <w:rFonts w:hint="default" w:ascii="Times New Roman" w:hAnsi="Times New Roman" w:eastAsia="宋体" w:cs="Times New Roman"/>
          <w:lang w:val="en-US" w:eastAsia="zh-CN"/>
        </w:rPr>
        <w:t xml:space="preserve">4.2 </w:t>
      </w:r>
      <w:r>
        <w:rPr>
          <w:rFonts w:hint="default" w:ascii="Times New Roman" w:hAnsi="Times New Roman" w:eastAsia="宋体" w:cs="Times New Roman"/>
        </w:rPr>
        <w:t>竞争性谈判报价一览表</w:t>
      </w:r>
      <w:bookmarkEnd w:id="193"/>
    </w:p>
    <w:p>
      <w:pPr>
        <w:spacing w:line="400" w:lineRule="exact"/>
        <w:rPr>
          <w:rFonts w:hint="eastAsia" w:ascii="宋体" w:hAnsi="宋体" w:eastAsia="宋体" w:cs="宋体"/>
          <w:sz w:val="24"/>
        </w:rPr>
      </w:pPr>
    </w:p>
    <w:p>
      <w:pPr>
        <w:spacing w:line="400" w:lineRule="exact"/>
        <w:rPr>
          <w:rFonts w:hint="eastAsia" w:ascii="宋体" w:hAnsi="宋体" w:eastAsia="宋体" w:cs="宋体"/>
          <w:szCs w:val="21"/>
          <w:u w:val="single"/>
        </w:rPr>
      </w:pPr>
      <w:r>
        <w:rPr>
          <w:rFonts w:hint="eastAsia" w:ascii="宋体" w:hAnsi="宋体" w:eastAsia="宋体" w:cs="宋体"/>
          <w:szCs w:val="21"/>
        </w:rPr>
        <w:t>项目名称：</w:t>
      </w:r>
      <w:r>
        <w:rPr>
          <w:rFonts w:hint="eastAsia" w:ascii="宋体" w:hAnsi="宋体" w:eastAsia="宋体" w:cs="宋体"/>
          <w:szCs w:val="21"/>
          <w:u w:val="single"/>
        </w:rPr>
        <w:t xml:space="preserve">            </w:t>
      </w:r>
      <w:r>
        <w:rPr>
          <w:rFonts w:hint="eastAsia" w:ascii="宋体" w:hAnsi="宋体" w:eastAsia="宋体" w:cs="宋体"/>
          <w:szCs w:val="21"/>
        </w:rPr>
        <w:t xml:space="preserve">               采购项目编号：</w:t>
      </w:r>
      <w:r>
        <w:rPr>
          <w:rFonts w:hint="eastAsia" w:ascii="宋体" w:hAnsi="宋体" w:eastAsia="宋体" w:cs="宋体"/>
          <w:szCs w:val="21"/>
          <w:u w:val="single"/>
        </w:rPr>
        <w:t xml:space="preserve">         </w:t>
      </w:r>
    </w:p>
    <w:tbl>
      <w:tblPr>
        <w:tblStyle w:val="15"/>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994"/>
        <w:gridCol w:w="2480"/>
        <w:gridCol w:w="1701"/>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3396" w:type="dxa"/>
            <w:gridSpan w:val="2"/>
            <w:noWrap/>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总报价</w:t>
            </w:r>
          </w:p>
        </w:tc>
        <w:tc>
          <w:tcPr>
            <w:tcW w:w="2480" w:type="dxa"/>
            <w:noWrap/>
            <w:vAlign w:val="center"/>
          </w:tcPr>
          <w:p>
            <w:pPr>
              <w:spacing w:line="400" w:lineRule="exact"/>
              <w:ind w:firstLine="2" w:firstLineChars="1"/>
              <w:jc w:val="center"/>
              <w:rPr>
                <w:rFonts w:hint="default" w:ascii="宋体" w:hAnsi="宋体" w:eastAsia="宋体" w:cs="宋体"/>
                <w:szCs w:val="21"/>
                <w:lang w:val="en-US" w:eastAsia="zh-CN"/>
              </w:rPr>
            </w:pPr>
            <w:r>
              <w:rPr>
                <w:rFonts w:hint="eastAsia" w:ascii="宋体" w:hAnsi="宋体" w:eastAsia="宋体" w:cs="宋体"/>
                <w:szCs w:val="21"/>
                <w:lang w:val="en-US" w:eastAsia="zh-CN"/>
              </w:rPr>
              <w:t>供货时间</w:t>
            </w:r>
          </w:p>
        </w:tc>
        <w:tc>
          <w:tcPr>
            <w:tcW w:w="1701" w:type="dxa"/>
            <w:noWrap/>
            <w:vAlign w:val="center"/>
          </w:tcPr>
          <w:p>
            <w:pPr>
              <w:spacing w:line="400" w:lineRule="exact"/>
              <w:ind w:firstLine="2" w:firstLineChars="1"/>
              <w:jc w:val="center"/>
              <w:rPr>
                <w:rFonts w:hint="default" w:ascii="宋体" w:hAnsi="宋体" w:eastAsia="宋体" w:cs="宋体"/>
                <w:szCs w:val="21"/>
                <w:lang w:val="en-US" w:eastAsia="zh-CN"/>
              </w:rPr>
            </w:pPr>
            <w:r>
              <w:rPr>
                <w:rFonts w:hint="eastAsia" w:ascii="宋体" w:hAnsi="宋体" w:eastAsia="宋体" w:cs="宋体"/>
                <w:szCs w:val="21"/>
                <w:lang w:val="en-US" w:eastAsia="zh-CN"/>
              </w:rPr>
              <w:t>供货地点</w:t>
            </w:r>
          </w:p>
        </w:tc>
        <w:tc>
          <w:tcPr>
            <w:tcW w:w="2469" w:type="dxa"/>
            <w:noWrap/>
            <w:vAlign w:val="center"/>
          </w:tcPr>
          <w:p>
            <w:pPr>
              <w:spacing w:line="400" w:lineRule="exact"/>
              <w:ind w:firstLine="2" w:firstLineChars="1"/>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3396" w:type="dxa"/>
            <w:gridSpan w:val="2"/>
            <w:noWrap/>
            <w:vAlign w:val="center"/>
          </w:tcPr>
          <w:p>
            <w:pPr>
              <w:spacing w:line="400" w:lineRule="exact"/>
              <w:rPr>
                <w:rFonts w:hint="eastAsia" w:ascii="宋体" w:hAnsi="宋体" w:eastAsia="宋体" w:cs="宋体"/>
                <w:szCs w:val="21"/>
              </w:rPr>
            </w:pPr>
            <w:r>
              <w:rPr>
                <w:rFonts w:hint="eastAsia" w:ascii="宋体" w:hAnsi="宋体" w:eastAsia="宋体" w:cs="宋体"/>
                <w:szCs w:val="21"/>
              </w:rPr>
              <w:t>小写：</w:t>
            </w:r>
          </w:p>
          <w:p>
            <w:pPr>
              <w:spacing w:line="400" w:lineRule="exact"/>
              <w:rPr>
                <w:rFonts w:hint="eastAsia" w:ascii="宋体" w:hAnsi="宋体" w:eastAsia="宋体" w:cs="宋体"/>
                <w:szCs w:val="21"/>
              </w:rPr>
            </w:pPr>
            <w:r>
              <w:rPr>
                <w:rFonts w:hint="eastAsia" w:ascii="宋体" w:hAnsi="宋体" w:eastAsia="宋体" w:cs="宋体"/>
                <w:szCs w:val="21"/>
              </w:rPr>
              <w:t>大写：</w:t>
            </w:r>
          </w:p>
        </w:tc>
        <w:tc>
          <w:tcPr>
            <w:tcW w:w="2480" w:type="dxa"/>
            <w:noWrap/>
            <w:vAlign w:val="center"/>
          </w:tcPr>
          <w:p>
            <w:pPr>
              <w:spacing w:line="400" w:lineRule="exact"/>
              <w:rPr>
                <w:rFonts w:hint="eastAsia" w:ascii="宋体" w:hAnsi="宋体" w:eastAsia="宋体" w:cs="宋体"/>
                <w:szCs w:val="21"/>
              </w:rPr>
            </w:pPr>
          </w:p>
        </w:tc>
        <w:tc>
          <w:tcPr>
            <w:tcW w:w="1701" w:type="dxa"/>
            <w:noWrap/>
          </w:tcPr>
          <w:p>
            <w:pPr>
              <w:widowControl w:val="0"/>
              <w:spacing w:line="400" w:lineRule="exact"/>
              <w:jc w:val="both"/>
              <w:rPr>
                <w:rFonts w:hint="eastAsia" w:ascii="宋体" w:hAnsi="宋体" w:eastAsia="宋体" w:cs="宋体"/>
                <w:kern w:val="2"/>
                <w:sz w:val="21"/>
                <w:szCs w:val="20"/>
                <w:lang w:val="en-US" w:eastAsia="zh-CN" w:bidi="ar-SA"/>
              </w:rPr>
            </w:pPr>
          </w:p>
        </w:tc>
        <w:tc>
          <w:tcPr>
            <w:tcW w:w="2469" w:type="dxa"/>
            <w:noWrap/>
            <w:vAlign w:val="center"/>
          </w:tcPr>
          <w:p>
            <w:pPr>
              <w:widowControl w:val="0"/>
              <w:spacing w:line="400" w:lineRule="exact"/>
              <w:jc w:val="center"/>
              <w:rPr>
                <w:rFonts w:hint="eastAsia" w:ascii="宋体" w:hAnsi="宋体" w:eastAsia="宋体" w:cs="宋体"/>
                <w:kern w:val="2"/>
                <w:sz w:val="21"/>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4" w:hRule="atLeast"/>
          <w:jc w:val="center"/>
        </w:trPr>
        <w:tc>
          <w:tcPr>
            <w:tcW w:w="1402" w:type="dxa"/>
            <w:noWrap/>
          </w:tcPr>
          <w:p>
            <w:pPr>
              <w:spacing w:line="400" w:lineRule="exact"/>
              <w:ind w:firstLine="2" w:firstLineChars="1"/>
              <w:rPr>
                <w:rFonts w:hint="eastAsia" w:ascii="宋体" w:hAnsi="宋体" w:eastAsia="宋体" w:cs="宋体"/>
                <w:szCs w:val="21"/>
              </w:rPr>
            </w:pPr>
          </w:p>
        </w:tc>
        <w:tc>
          <w:tcPr>
            <w:tcW w:w="8644" w:type="dxa"/>
            <w:gridSpan w:val="4"/>
            <w:noWrap/>
            <w:vAlign w:val="center"/>
          </w:tcPr>
          <w:p>
            <w:pPr>
              <w:spacing w:line="400" w:lineRule="exact"/>
              <w:ind w:firstLine="2" w:firstLineChars="1"/>
              <w:rPr>
                <w:rFonts w:hint="eastAsia" w:ascii="宋体" w:hAnsi="宋体" w:eastAsia="宋体" w:cs="宋体"/>
                <w:szCs w:val="21"/>
              </w:rPr>
            </w:pPr>
            <w:r>
              <w:rPr>
                <w:rFonts w:hint="eastAsia" w:ascii="宋体" w:hAnsi="宋体" w:eastAsia="宋体" w:cs="宋体"/>
                <w:szCs w:val="21"/>
              </w:rPr>
              <w:t>供应商：（盖单位公章）</w:t>
            </w:r>
          </w:p>
          <w:p>
            <w:pPr>
              <w:spacing w:line="400" w:lineRule="exact"/>
              <w:ind w:firstLine="2" w:firstLineChars="1"/>
              <w:rPr>
                <w:rFonts w:hint="eastAsia" w:ascii="宋体" w:hAnsi="宋体" w:eastAsia="宋体" w:cs="宋体"/>
                <w:szCs w:val="21"/>
              </w:rPr>
            </w:pPr>
            <w:r>
              <w:rPr>
                <w:rFonts w:hint="eastAsia" w:ascii="宋体" w:hAnsi="宋体" w:eastAsia="宋体" w:cs="宋体"/>
                <w:szCs w:val="21"/>
              </w:rPr>
              <w:t>法定代表人或其委托代理人：（签字或盖章）</w:t>
            </w:r>
          </w:p>
          <w:p>
            <w:pPr>
              <w:adjustRightInd w:val="0"/>
              <w:snapToGrid w:val="0"/>
              <w:spacing w:line="400" w:lineRule="exact"/>
              <w:rPr>
                <w:rFonts w:hint="eastAsia" w:ascii="宋体" w:hAnsi="宋体" w:eastAsia="宋体" w:cs="宋体"/>
                <w:b/>
                <w:szCs w:val="21"/>
              </w:rPr>
            </w:pPr>
            <w:r>
              <w:rPr>
                <w:rFonts w:hint="eastAsia" w:ascii="宋体" w:hAnsi="宋体" w:eastAsia="宋体" w:cs="宋体"/>
                <w:szCs w:val="21"/>
              </w:rPr>
              <w:t>日期：年  月    日</w:t>
            </w:r>
          </w:p>
          <w:p>
            <w:pPr>
              <w:widowControl w:val="0"/>
              <w:spacing w:line="400" w:lineRule="exact"/>
              <w:jc w:val="center"/>
              <w:rPr>
                <w:rFonts w:hint="eastAsia" w:ascii="宋体" w:hAnsi="宋体" w:eastAsia="宋体" w:cs="宋体"/>
                <w:kern w:val="2"/>
                <w:sz w:val="21"/>
                <w:szCs w:val="20"/>
                <w:lang w:val="en-US" w:eastAsia="zh-CN" w:bidi="ar-SA"/>
              </w:rPr>
            </w:pPr>
          </w:p>
        </w:tc>
      </w:tr>
    </w:tbl>
    <w:p>
      <w:pPr>
        <w:widowControl w:val="0"/>
        <w:spacing w:line="400" w:lineRule="exact"/>
        <w:jc w:val="both"/>
        <w:rPr>
          <w:rFonts w:hint="eastAsia" w:ascii="宋体" w:hAnsi="宋体" w:eastAsia="宋体" w:cs="宋体"/>
          <w:kern w:val="2"/>
          <w:sz w:val="21"/>
          <w:szCs w:val="20"/>
          <w:lang w:val="en-US" w:eastAsia="zh-CN" w:bidi="ar-SA"/>
        </w:rPr>
      </w:pPr>
    </w:p>
    <w:p>
      <w:pPr>
        <w:widowControl w:val="0"/>
        <w:spacing w:line="400" w:lineRule="exact"/>
        <w:jc w:val="both"/>
        <w:rPr>
          <w:rFonts w:hint="eastAsia" w:ascii="宋体" w:hAnsi="宋体" w:eastAsia="宋体" w:cs="宋体"/>
          <w:kern w:val="2"/>
          <w:sz w:val="21"/>
          <w:szCs w:val="20"/>
          <w:lang w:val="en-US" w:eastAsia="zh-CN" w:bidi="ar-SA"/>
        </w:rPr>
      </w:pPr>
    </w:p>
    <w:p>
      <w:pPr>
        <w:adjustRightInd w:val="0"/>
        <w:snapToGrid w:val="0"/>
        <w:spacing w:line="400" w:lineRule="exact"/>
        <w:ind w:left="-88" w:leftChars="-42"/>
        <w:rPr>
          <w:rFonts w:hint="eastAsia" w:ascii="宋体" w:hAnsi="宋体" w:eastAsia="宋体" w:cs="宋体"/>
          <w:szCs w:val="21"/>
        </w:rPr>
      </w:pPr>
    </w:p>
    <w:p>
      <w:pPr>
        <w:shd w:val="clear" w:color="auto" w:fill="FFFFFF"/>
        <w:snapToGrid w:val="0"/>
        <w:spacing w:line="400" w:lineRule="exact"/>
        <w:ind w:left="851" w:hanging="851"/>
        <w:rPr>
          <w:rFonts w:hint="eastAsia" w:ascii="宋体" w:hAnsi="宋体" w:eastAsia="宋体" w:cs="宋体"/>
          <w:sz w:val="24"/>
        </w:rPr>
      </w:pPr>
      <w:r>
        <w:rPr>
          <w:rFonts w:hint="eastAsia" w:ascii="宋体" w:hAnsi="宋体" w:eastAsia="宋体" w:cs="宋体"/>
          <w:sz w:val="24"/>
        </w:rPr>
        <w:t> </w:t>
      </w:r>
    </w:p>
    <w:p>
      <w:pPr>
        <w:widowControl w:val="0"/>
        <w:spacing w:line="360" w:lineRule="auto"/>
        <w:jc w:val="both"/>
        <w:rPr>
          <w:rFonts w:hint="eastAsia" w:ascii="宋体" w:hAnsi="宋体" w:eastAsia="宋体" w:cs="宋体"/>
          <w:kern w:val="2"/>
          <w:sz w:val="21"/>
          <w:szCs w:val="21"/>
          <w:lang w:val="en-US" w:eastAsia="zh-CN" w:bidi="ar-SA"/>
        </w:rPr>
      </w:pPr>
    </w:p>
    <w:p>
      <w:pPr>
        <w:widowControl w:val="0"/>
        <w:spacing w:line="360" w:lineRule="auto"/>
        <w:jc w:val="both"/>
        <w:rPr>
          <w:rFonts w:hint="eastAsia" w:ascii="宋体" w:hAnsi="宋体" w:eastAsia="宋体" w:cs="宋体"/>
          <w:kern w:val="2"/>
          <w:sz w:val="21"/>
          <w:szCs w:val="21"/>
          <w:lang w:val="en-US" w:eastAsia="zh-CN" w:bidi="ar-SA"/>
        </w:rPr>
      </w:pPr>
    </w:p>
    <w:p>
      <w:pPr>
        <w:widowControl w:val="0"/>
        <w:spacing w:line="360" w:lineRule="auto"/>
        <w:jc w:val="both"/>
        <w:rPr>
          <w:rFonts w:hint="eastAsia" w:ascii="宋体" w:hAnsi="宋体" w:eastAsia="宋体" w:cs="宋体"/>
          <w:kern w:val="2"/>
          <w:sz w:val="21"/>
          <w:szCs w:val="21"/>
          <w:lang w:val="en-US" w:eastAsia="zh-CN" w:bidi="ar-SA"/>
        </w:rPr>
      </w:pPr>
    </w:p>
    <w:p>
      <w:pPr>
        <w:rPr>
          <w:rFonts w:hint="eastAsia" w:ascii="宋体" w:hAnsi="宋体" w:eastAsia="宋体" w:cs="宋体"/>
          <w:b/>
          <w:bCs/>
          <w:sz w:val="28"/>
          <w:szCs w:val="28"/>
        </w:rPr>
        <w:sectPr>
          <w:pgSz w:w="11906" w:h="16838"/>
          <w:pgMar w:top="1418" w:right="1134" w:bottom="1134" w:left="1417" w:header="936" w:footer="720" w:gutter="0"/>
          <w:cols w:space="720" w:num="1"/>
          <w:docGrid w:linePitch="331" w:charSpace="0"/>
        </w:sectPr>
      </w:pPr>
    </w:p>
    <w:p>
      <w:pPr>
        <w:pStyle w:val="5"/>
        <w:bidi w:val="0"/>
        <w:jc w:val="center"/>
        <w:rPr>
          <w:rFonts w:hint="default" w:ascii="Times New Roman" w:hAnsi="Times New Roman" w:eastAsia="宋体" w:cs="Times New Roman"/>
        </w:rPr>
      </w:pPr>
      <w:bookmarkStart w:id="194" w:name="_Toc7817_WPSOffice_Level3"/>
      <w:bookmarkStart w:id="195" w:name="_Toc1476"/>
      <w:r>
        <w:rPr>
          <w:rFonts w:hint="default" w:ascii="Times New Roman" w:hAnsi="Times New Roman" w:eastAsia="宋体" w:cs="Times New Roman"/>
          <w:lang w:val="en-US" w:eastAsia="zh-CN"/>
        </w:rPr>
        <w:t xml:space="preserve">4.3 </w:t>
      </w:r>
      <w:r>
        <w:rPr>
          <w:rFonts w:hint="default" w:ascii="Times New Roman" w:hAnsi="Times New Roman" w:eastAsia="宋体" w:cs="Times New Roman"/>
        </w:rPr>
        <w:t>分项报价表</w:t>
      </w:r>
      <w:bookmarkEnd w:id="194"/>
      <w:bookmarkEnd w:id="195"/>
    </w:p>
    <w:p>
      <w:pPr>
        <w:spacing w:line="400" w:lineRule="exact"/>
        <w:rPr>
          <w:rFonts w:hint="eastAsia" w:ascii="宋体" w:hAnsi="宋体" w:eastAsia="宋体" w:cs="宋体"/>
          <w:szCs w:val="21"/>
        </w:rPr>
      </w:pPr>
    </w:p>
    <w:p>
      <w:pPr>
        <w:spacing w:line="400" w:lineRule="exact"/>
        <w:rPr>
          <w:rFonts w:hint="eastAsia" w:ascii="宋体" w:hAnsi="宋体" w:eastAsia="宋体" w:cs="宋体"/>
          <w:szCs w:val="21"/>
          <w:u w:val="single"/>
        </w:rPr>
      </w:pPr>
      <w:r>
        <w:rPr>
          <w:rFonts w:hint="eastAsia" w:ascii="宋体" w:hAnsi="宋体" w:eastAsia="宋体" w:cs="宋体"/>
          <w:szCs w:val="21"/>
        </w:rPr>
        <w:t>项目名称：</w:t>
      </w:r>
      <w:r>
        <w:rPr>
          <w:rFonts w:hint="eastAsia" w:ascii="宋体" w:hAnsi="宋体" w:eastAsia="宋体" w:cs="宋体"/>
          <w:szCs w:val="21"/>
          <w:u w:val="single"/>
        </w:rPr>
        <w:t xml:space="preserve">              </w:t>
      </w:r>
      <w:r>
        <w:rPr>
          <w:rFonts w:hint="eastAsia" w:ascii="宋体" w:hAnsi="宋体" w:eastAsia="宋体" w:cs="宋体"/>
          <w:szCs w:val="21"/>
        </w:rPr>
        <w:t xml:space="preserve">             采购项目编号：</w:t>
      </w:r>
      <w:r>
        <w:rPr>
          <w:rFonts w:hint="eastAsia" w:ascii="宋体" w:hAnsi="宋体" w:eastAsia="宋体" w:cs="宋体"/>
          <w:szCs w:val="21"/>
          <w:u w:val="single"/>
        </w:rPr>
        <w:t xml:space="preserve">           </w:t>
      </w:r>
      <w:r>
        <w:rPr>
          <w:rFonts w:hint="eastAsia" w:ascii="宋体" w:hAnsi="宋体" w:eastAsia="宋体" w:cs="宋体"/>
          <w:szCs w:val="21"/>
        </w:rPr>
        <w:t xml:space="preserve">      货币单位:元  </w:t>
      </w:r>
    </w:p>
    <w:p>
      <w:pPr>
        <w:widowControl w:val="0"/>
        <w:jc w:val="both"/>
        <w:rPr>
          <w:rFonts w:hint="eastAsia" w:ascii="宋体" w:hAnsi="宋体" w:eastAsia="宋体" w:cs="宋体"/>
          <w:kern w:val="0"/>
          <w:sz w:val="24"/>
          <w:szCs w:val="24"/>
          <w:lang w:val="en-US" w:eastAsia="zh-CN" w:bidi="ar-SA"/>
        </w:rPr>
      </w:pPr>
    </w:p>
    <w:tbl>
      <w:tblPr>
        <w:tblStyle w:val="15"/>
        <w:tblpPr w:leftFromText="180" w:rightFromText="180" w:vertAnchor="text" w:horzAnchor="page" w:tblpXSpec="center" w:tblpY="579"/>
        <w:tblOverlap w:val="never"/>
        <w:tblW w:w="67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690"/>
        <w:gridCol w:w="1020"/>
        <w:gridCol w:w="1110"/>
        <w:gridCol w:w="1140"/>
        <w:gridCol w:w="825"/>
        <w:gridCol w:w="705"/>
        <w:gridCol w:w="121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vMerge w:val="restart"/>
            <w:tcBorders>
              <w:top w:val="double" w:color="auto" w:sz="4" w:space="0"/>
              <w:left w:val="double" w:color="auto" w:sz="4" w:space="0"/>
              <w:right w:val="sing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序号</w:t>
            </w:r>
          </w:p>
        </w:tc>
        <w:tc>
          <w:tcPr>
            <w:tcW w:w="1020" w:type="dxa"/>
            <w:vMerge w:val="restart"/>
            <w:tcBorders>
              <w:top w:val="double" w:color="auto" w:sz="4" w:space="0"/>
              <w:left w:val="single" w:color="auto" w:sz="4" w:space="0"/>
              <w:right w:val="single" w:color="000000" w:sz="6" w:space="0"/>
            </w:tcBorders>
            <w:noWrap/>
            <w:vAlign w:val="center"/>
          </w:tcPr>
          <w:p>
            <w:pPr>
              <w:spacing w:line="400" w:lineRule="exact"/>
              <w:ind w:left="198" w:hanging="198" w:hangingChars="94"/>
              <w:jc w:val="center"/>
              <w:rPr>
                <w:rFonts w:hint="eastAsia" w:ascii="宋体" w:hAnsi="宋体" w:eastAsia="宋体" w:cs="宋体"/>
                <w:b/>
                <w:szCs w:val="21"/>
              </w:rPr>
            </w:pPr>
            <w:r>
              <w:rPr>
                <w:rFonts w:hint="eastAsia" w:ascii="宋体" w:hAnsi="宋体" w:eastAsia="宋体" w:cs="宋体"/>
                <w:b/>
                <w:szCs w:val="21"/>
              </w:rPr>
              <w:t>货物名称</w:t>
            </w:r>
          </w:p>
        </w:tc>
        <w:tc>
          <w:tcPr>
            <w:tcW w:w="1110" w:type="dxa"/>
            <w:vMerge w:val="restart"/>
            <w:tcBorders>
              <w:top w:val="double" w:color="auto" w:sz="4" w:space="0"/>
              <w:left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规格型号</w:t>
            </w:r>
          </w:p>
        </w:tc>
        <w:tc>
          <w:tcPr>
            <w:tcW w:w="1140" w:type="dxa"/>
            <w:vMerge w:val="restart"/>
            <w:tcBorders>
              <w:top w:val="double" w:color="auto" w:sz="4" w:space="0"/>
              <w:left w:val="single" w:color="000000" w:sz="6" w:space="0"/>
              <w:right w:val="single" w:color="000000" w:sz="6"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数量</w:t>
            </w:r>
          </w:p>
        </w:tc>
        <w:tc>
          <w:tcPr>
            <w:tcW w:w="1530" w:type="dxa"/>
            <w:gridSpan w:val="2"/>
            <w:tcBorders>
              <w:top w:val="double" w:color="auto" w:sz="4" w:space="0"/>
              <w:left w:val="single" w:color="000000" w:sz="6" w:space="0"/>
              <w:bottom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价格</w:t>
            </w:r>
          </w:p>
        </w:tc>
        <w:tc>
          <w:tcPr>
            <w:tcW w:w="1215" w:type="dxa"/>
            <w:vMerge w:val="restart"/>
            <w:tcBorders>
              <w:top w:val="double" w:color="auto" w:sz="4" w:space="0"/>
              <w:left w:val="single" w:color="000000" w:sz="6" w:space="0"/>
              <w:right w:val="double" w:color="auto" w:sz="4" w:space="0"/>
            </w:tcBorders>
            <w:noWrap/>
            <w:vAlign w:val="center"/>
          </w:tcPr>
          <w:p>
            <w:pPr>
              <w:tabs>
                <w:tab w:val="left" w:pos="572"/>
              </w:tabs>
              <w:spacing w:line="400" w:lineRule="exact"/>
              <w:jc w:val="center"/>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17" w:hRule="atLeast"/>
          <w:jc w:val="center"/>
        </w:trPr>
        <w:tc>
          <w:tcPr>
            <w:tcW w:w="690" w:type="dxa"/>
            <w:vMerge w:val="continue"/>
            <w:tcBorders>
              <w:left w:val="double" w:color="auto" w:sz="4" w:space="0"/>
              <w:bottom w:val="single" w:color="auto" w:sz="4" w:space="0"/>
              <w:right w:val="single" w:color="auto" w:sz="4" w:space="0"/>
            </w:tcBorders>
            <w:noWrap/>
            <w:vAlign w:val="center"/>
          </w:tcPr>
          <w:p>
            <w:pPr>
              <w:spacing w:line="400" w:lineRule="exact"/>
              <w:rPr>
                <w:rFonts w:hint="eastAsia" w:ascii="宋体" w:hAnsi="宋体" w:eastAsia="宋体" w:cs="宋体"/>
              </w:rPr>
            </w:pPr>
          </w:p>
        </w:tc>
        <w:tc>
          <w:tcPr>
            <w:tcW w:w="1020" w:type="dxa"/>
            <w:vMerge w:val="continue"/>
            <w:tcBorders>
              <w:left w:val="single" w:color="auto" w:sz="4" w:space="0"/>
              <w:bottom w:val="single" w:color="auto" w:sz="4" w:space="0"/>
              <w:right w:val="single" w:color="000000" w:sz="6" w:space="0"/>
            </w:tcBorders>
            <w:noWrap/>
            <w:vAlign w:val="center"/>
          </w:tcPr>
          <w:p>
            <w:pPr>
              <w:spacing w:line="400" w:lineRule="exact"/>
              <w:rPr>
                <w:rFonts w:hint="eastAsia" w:ascii="宋体" w:hAnsi="宋体" w:eastAsia="宋体" w:cs="宋体"/>
              </w:rPr>
            </w:pPr>
          </w:p>
        </w:tc>
        <w:tc>
          <w:tcPr>
            <w:tcW w:w="1110" w:type="dxa"/>
            <w:vMerge w:val="continue"/>
            <w:tcBorders>
              <w:left w:val="single" w:color="000000" w:sz="6" w:space="0"/>
              <w:bottom w:val="single" w:color="auto" w:sz="4" w:space="0"/>
              <w:right w:val="single" w:color="auto" w:sz="4" w:space="0"/>
            </w:tcBorders>
            <w:noWrap/>
            <w:vAlign w:val="center"/>
          </w:tcPr>
          <w:p>
            <w:pPr>
              <w:spacing w:line="400" w:lineRule="exact"/>
              <w:rPr>
                <w:rFonts w:hint="eastAsia" w:ascii="宋体" w:hAnsi="宋体" w:eastAsia="宋体" w:cs="宋体"/>
              </w:rPr>
            </w:pPr>
          </w:p>
        </w:tc>
        <w:tc>
          <w:tcPr>
            <w:tcW w:w="1140" w:type="dxa"/>
            <w:vMerge w:val="continue"/>
            <w:tcBorders>
              <w:left w:val="single" w:color="000000" w:sz="6" w:space="0"/>
              <w:bottom w:val="single" w:color="auto" w:sz="4" w:space="0"/>
              <w:right w:val="single" w:color="000000" w:sz="6" w:space="0"/>
            </w:tcBorders>
            <w:noWrap/>
            <w:vAlign w:val="center"/>
          </w:tcPr>
          <w:p>
            <w:pPr>
              <w:spacing w:line="400" w:lineRule="exact"/>
              <w:rPr>
                <w:rFonts w:hint="eastAsia" w:ascii="宋体" w:hAnsi="宋体" w:eastAsia="宋体" w:cs="宋体"/>
              </w:rPr>
            </w:pPr>
          </w:p>
        </w:tc>
        <w:tc>
          <w:tcPr>
            <w:tcW w:w="825" w:type="dxa"/>
            <w:tcBorders>
              <w:top w:val="single" w:color="auto" w:sz="4" w:space="0"/>
              <w:left w:val="single" w:color="000000" w:sz="6" w:space="0"/>
              <w:bottom w:val="single" w:color="auto" w:sz="4" w:space="0"/>
              <w:right w:val="single" w:color="000000" w:sz="6"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单价</w:t>
            </w:r>
          </w:p>
        </w:tc>
        <w:tc>
          <w:tcPr>
            <w:tcW w:w="705" w:type="dxa"/>
            <w:tcBorders>
              <w:top w:val="single" w:color="auto" w:sz="4" w:space="0"/>
              <w:left w:val="single" w:color="000000" w:sz="6" w:space="0"/>
              <w:bottom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合计</w:t>
            </w:r>
          </w:p>
        </w:tc>
        <w:tc>
          <w:tcPr>
            <w:tcW w:w="1215" w:type="dxa"/>
            <w:vMerge w:val="continue"/>
            <w:tcBorders>
              <w:left w:val="single" w:color="000000" w:sz="6" w:space="0"/>
              <w:bottom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auto" w:sz="4"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1</w:t>
            </w:r>
          </w:p>
        </w:tc>
        <w:tc>
          <w:tcPr>
            <w:tcW w:w="1020" w:type="dxa"/>
            <w:tcBorders>
              <w:top w:val="single" w:color="auto" w:sz="4"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auto" w:sz="4" w:space="0"/>
              <w:left w:val="single" w:color="000000" w:sz="6" w:space="0"/>
              <w:bottom w:val="single" w:color="000000" w:sz="6" w:space="0"/>
              <w:right w:val="sing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1140" w:type="dxa"/>
            <w:tcBorders>
              <w:top w:val="single" w:color="auto" w:sz="4"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825" w:type="dxa"/>
            <w:tcBorders>
              <w:top w:val="single" w:color="auto" w:sz="4"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705" w:type="dxa"/>
            <w:tcBorders>
              <w:top w:val="single" w:color="auto" w:sz="4" w:space="0"/>
              <w:left w:val="single" w:color="000000" w:sz="6" w:space="0"/>
              <w:bottom w:val="single" w:color="auto" w:sz="4" w:space="0"/>
              <w:right w:val="double" w:color="auto" w:sz="4" w:space="0"/>
            </w:tcBorders>
            <w:noWrap/>
            <w:vAlign w:val="center"/>
          </w:tcPr>
          <w:p>
            <w:pPr>
              <w:spacing w:line="400" w:lineRule="exact"/>
              <w:rPr>
                <w:rFonts w:hint="eastAsia" w:ascii="宋体" w:hAnsi="宋体" w:eastAsia="宋体" w:cs="宋体"/>
                <w:szCs w:val="21"/>
              </w:rPr>
            </w:pPr>
          </w:p>
        </w:tc>
        <w:tc>
          <w:tcPr>
            <w:tcW w:w="1215" w:type="dxa"/>
            <w:tcBorders>
              <w:top w:val="single" w:color="auto" w:sz="4" w:space="0"/>
              <w:left w:val="single" w:color="000000" w:sz="6" w:space="0"/>
              <w:bottom w:val="single" w:color="auto" w:sz="4" w:space="0"/>
              <w:right w:val="double" w:color="auto" w:sz="4" w:space="0"/>
            </w:tcBorders>
            <w:noWrap/>
            <w:vAlign w:val="center"/>
          </w:tcPr>
          <w:p>
            <w:pPr>
              <w:spacing w:line="400" w:lineRule="exact"/>
              <w:jc w:val="center"/>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2</w:t>
            </w: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000000" w:sz="6" w:space="0"/>
              <w:left w:val="single" w:color="000000" w:sz="6" w:space="0"/>
              <w:bottom w:val="single" w:color="000000" w:sz="6" w:space="0"/>
              <w:right w:val="sing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114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82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705" w:type="dxa"/>
            <w:vMerge w:val="restart"/>
            <w:tcBorders>
              <w:top w:val="single" w:color="auto" w:sz="4" w:space="0"/>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c>
          <w:tcPr>
            <w:tcW w:w="1215" w:type="dxa"/>
            <w:vMerge w:val="restart"/>
            <w:tcBorders>
              <w:top w:val="single" w:color="auto" w:sz="4" w:space="0"/>
              <w:left w:val="single" w:color="000000" w:sz="6" w:space="0"/>
              <w:right w:val="double" w:color="auto" w:sz="4" w:space="0"/>
            </w:tcBorders>
            <w:noWrap/>
            <w:vAlign w:val="center"/>
          </w:tcPr>
          <w:p>
            <w:pPr>
              <w:spacing w:line="400" w:lineRule="exact"/>
              <w:jc w:val="center"/>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w:t>
            </w: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000000" w:sz="6" w:space="0"/>
              <w:left w:val="single" w:color="000000" w:sz="6" w:space="0"/>
              <w:bottom w:val="single" w:color="000000" w:sz="6" w:space="0"/>
              <w:right w:val="sing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114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82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705" w:type="dxa"/>
            <w:vMerge w:val="continue"/>
            <w:tcBorders>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c>
          <w:tcPr>
            <w:tcW w:w="1215" w:type="dxa"/>
            <w:vMerge w:val="continue"/>
            <w:tcBorders>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000000" w:sz="6" w:space="0"/>
              <w:left w:val="single" w:color="000000" w:sz="6" w:space="0"/>
              <w:bottom w:val="single" w:color="000000" w:sz="6" w:space="0"/>
              <w:right w:val="sing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114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82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705" w:type="dxa"/>
            <w:vMerge w:val="continue"/>
            <w:tcBorders>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c>
          <w:tcPr>
            <w:tcW w:w="1215" w:type="dxa"/>
            <w:vMerge w:val="continue"/>
            <w:tcBorders>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000000" w:sz="6" w:space="0"/>
              <w:left w:val="single" w:color="000000" w:sz="6" w:space="0"/>
              <w:bottom w:val="single" w:color="000000" w:sz="6" w:space="0"/>
              <w:right w:val="sing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114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82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705" w:type="dxa"/>
            <w:vMerge w:val="continue"/>
            <w:tcBorders>
              <w:left w:val="single" w:color="000000" w:sz="6" w:space="0"/>
              <w:bottom w:val="single" w:color="auto" w:sz="4" w:space="0"/>
              <w:right w:val="double" w:color="auto" w:sz="4" w:space="0"/>
            </w:tcBorders>
            <w:noWrap/>
            <w:vAlign w:val="center"/>
          </w:tcPr>
          <w:p>
            <w:pPr>
              <w:spacing w:line="400" w:lineRule="exact"/>
              <w:rPr>
                <w:rFonts w:hint="eastAsia" w:ascii="宋体" w:hAnsi="宋体" w:eastAsia="宋体" w:cs="宋体"/>
                <w:szCs w:val="21"/>
              </w:rPr>
            </w:pPr>
          </w:p>
        </w:tc>
        <w:tc>
          <w:tcPr>
            <w:tcW w:w="1215" w:type="dxa"/>
            <w:vMerge w:val="continue"/>
            <w:tcBorders>
              <w:left w:val="single" w:color="000000" w:sz="6" w:space="0"/>
              <w:bottom w:val="single" w:color="auto" w:sz="4" w:space="0"/>
              <w:right w:val="double" w:color="auto" w:sz="4" w:space="0"/>
            </w:tcBorders>
            <w:noWrap/>
            <w:vAlign w:val="center"/>
          </w:tcPr>
          <w:p>
            <w:pPr>
              <w:spacing w:line="400" w:lineRule="exact"/>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double" w:color="auto" w:sz="4"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1020" w:type="dxa"/>
            <w:tcBorders>
              <w:top w:val="double" w:color="auto" w:sz="4" w:space="0"/>
              <w:left w:val="single" w:color="auto" w:sz="4" w:space="0"/>
              <w:bottom w:val="single" w:color="000000" w:sz="6" w:space="0"/>
              <w:right w:val="single" w:color="000000" w:sz="6" w:space="0"/>
            </w:tcBorders>
            <w:noWrap/>
            <w:vAlign w:val="center"/>
          </w:tcPr>
          <w:p>
            <w:pPr>
              <w:spacing w:line="400" w:lineRule="exact"/>
              <w:jc w:val="center"/>
              <w:rPr>
                <w:rFonts w:hint="eastAsia" w:ascii="宋体" w:hAnsi="宋体" w:eastAsia="宋体" w:cs="宋体"/>
                <w:b/>
                <w:szCs w:val="21"/>
              </w:rPr>
            </w:pPr>
          </w:p>
        </w:tc>
        <w:tc>
          <w:tcPr>
            <w:tcW w:w="1110" w:type="dxa"/>
            <w:tcBorders>
              <w:top w:val="double" w:color="auto" w:sz="4" w:space="0"/>
              <w:left w:val="single" w:color="auto" w:sz="4" w:space="0"/>
              <w:bottom w:val="single" w:color="000000" w:sz="6" w:space="0"/>
              <w:right w:val="single" w:color="auto" w:sz="4" w:space="0"/>
            </w:tcBorders>
            <w:noWrap/>
          </w:tcPr>
          <w:p>
            <w:pPr>
              <w:spacing w:line="400" w:lineRule="exact"/>
              <w:jc w:val="center"/>
              <w:rPr>
                <w:rFonts w:hint="eastAsia" w:ascii="宋体" w:hAnsi="宋体" w:eastAsia="宋体" w:cs="宋体"/>
                <w:b/>
                <w:szCs w:val="21"/>
              </w:rPr>
            </w:pPr>
          </w:p>
        </w:tc>
        <w:tc>
          <w:tcPr>
            <w:tcW w:w="1140" w:type="dxa"/>
            <w:tcBorders>
              <w:top w:val="double" w:color="auto" w:sz="4" w:space="0"/>
              <w:left w:val="single" w:color="auto" w:sz="4" w:space="0"/>
              <w:bottom w:val="single" w:color="000000" w:sz="6" w:space="0"/>
              <w:right w:val="single" w:color="000000" w:sz="6" w:space="0"/>
            </w:tcBorders>
            <w:noWrap/>
          </w:tcPr>
          <w:p>
            <w:pPr>
              <w:spacing w:line="400" w:lineRule="exact"/>
              <w:jc w:val="center"/>
              <w:rPr>
                <w:rFonts w:hint="eastAsia" w:ascii="宋体" w:hAnsi="宋体" w:eastAsia="宋体" w:cs="宋体"/>
                <w:b/>
                <w:szCs w:val="21"/>
              </w:rPr>
            </w:pPr>
          </w:p>
        </w:tc>
        <w:tc>
          <w:tcPr>
            <w:tcW w:w="825" w:type="dxa"/>
            <w:tcBorders>
              <w:top w:val="double" w:color="auto" w:sz="4" w:space="0"/>
              <w:left w:val="single" w:color="000000" w:sz="6" w:space="0"/>
              <w:bottom w:val="single" w:color="auto" w:sz="4"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705" w:type="dxa"/>
            <w:vMerge w:val="restart"/>
            <w:tcBorders>
              <w:top w:val="double" w:color="auto" w:sz="4" w:space="0"/>
              <w:left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p>
        </w:tc>
        <w:tc>
          <w:tcPr>
            <w:tcW w:w="1215" w:type="dxa"/>
            <w:vMerge w:val="restart"/>
            <w:tcBorders>
              <w:top w:val="double" w:color="auto" w:sz="4" w:space="0"/>
              <w:left w:val="single" w:color="000000" w:sz="6" w:space="0"/>
              <w:right w:val="double" w:color="auto" w:sz="4" w:space="0"/>
            </w:tcBorders>
            <w:noWrap/>
            <w:vAlign w:val="center"/>
          </w:tcPr>
          <w:p>
            <w:pPr>
              <w:adjustRightInd w:val="0"/>
              <w:snapToGrid w:val="0"/>
              <w:spacing w:line="400" w:lineRule="exact"/>
              <w:ind w:left="907" w:hanging="907"/>
              <w:jc w:val="center"/>
              <w:textAlignment w:val="center"/>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jc w:val="center"/>
              <w:rPr>
                <w:rFonts w:hint="eastAsia" w:ascii="宋体" w:hAnsi="宋体" w:eastAsia="宋体" w:cs="宋体"/>
                <w:b/>
                <w:szCs w:val="21"/>
              </w:rPr>
            </w:pPr>
          </w:p>
        </w:tc>
        <w:tc>
          <w:tcPr>
            <w:tcW w:w="1110" w:type="dxa"/>
            <w:tcBorders>
              <w:top w:val="single" w:color="000000" w:sz="6" w:space="0"/>
              <w:left w:val="single" w:color="auto" w:sz="4" w:space="0"/>
              <w:bottom w:val="single" w:color="000000" w:sz="6" w:space="0"/>
              <w:right w:val="single" w:color="auto" w:sz="4" w:space="0"/>
            </w:tcBorders>
            <w:noWrap/>
          </w:tcPr>
          <w:p>
            <w:pPr>
              <w:spacing w:line="400" w:lineRule="exact"/>
              <w:jc w:val="center"/>
              <w:rPr>
                <w:rFonts w:hint="eastAsia" w:ascii="宋体" w:hAnsi="宋体" w:eastAsia="宋体" w:cs="宋体"/>
                <w:b/>
                <w:szCs w:val="21"/>
              </w:rPr>
            </w:pPr>
          </w:p>
        </w:tc>
        <w:tc>
          <w:tcPr>
            <w:tcW w:w="1140" w:type="dxa"/>
            <w:tcBorders>
              <w:top w:val="single" w:color="000000" w:sz="6" w:space="0"/>
              <w:left w:val="single" w:color="auto" w:sz="4" w:space="0"/>
              <w:bottom w:val="single" w:color="000000" w:sz="6" w:space="0"/>
              <w:right w:val="single" w:color="000000" w:sz="6" w:space="0"/>
            </w:tcBorders>
            <w:noWrap/>
          </w:tcPr>
          <w:p>
            <w:pPr>
              <w:spacing w:line="400" w:lineRule="exact"/>
              <w:jc w:val="center"/>
              <w:rPr>
                <w:rFonts w:hint="eastAsia" w:ascii="宋体" w:hAnsi="宋体" w:eastAsia="宋体" w:cs="宋体"/>
                <w:b/>
                <w:szCs w:val="21"/>
              </w:rPr>
            </w:pPr>
          </w:p>
        </w:tc>
        <w:tc>
          <w:tcPr>
            <w:tcW w:w="825" w:type="dxa"/>
            <w:tcBorders>
              <w:top w:val="single" w:color="auto" w:sz="4" w:space="0"/>
              <w:left w:val="single" w:color="000000" w:sz="6" w:space="0"/>
              <w:bottom w:val="single" w:color="auto" w:sz="4"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705" w:type="dxa"/>
            <w:vMerge w:val="continue"/>
            <w:tcBorders>
              <w:left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p>
        </w:tc>
        <w:tc>
          <w:tcPr>
            <w:tcW w:w="1215" w:type="dxa"/>
            <w:vMerge w:val="continue"/>
            <w:tcBorders>
              <w:left w:val="single" w:color="000000" w:sz="6" w:space="0"/>
              <w:right w:val="doub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1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jc w:val="center"/>
              <w:rPr>
                <w:rFonts w:hint="eastAsia" w:ascii="宋体" w:hAnsi="宋体" w:eastAsia="宋体" w:cs="宋体"/>
                <w:b/>
                <w:szCs w:val="21"/>
              </w:rPr>
            </w:pPr>
          </w:p>
        </w:tc>
        <w:tc>
          <w:tcPr>
            <w:tcW w:w="1110" w:type="dxa"/>
            <w:tcBorders>
              <w:top w:val="single" w:color="000000" w:sz="6" w:space="0"/>
              <w:left w:val="single" w:color="auto" w:sz="4" w:space="0"/>
              <w:bottom w:val="single" w:color="000000" w:sz="6" w:space="0"/>
              <w:right w:val="single" w:color="auto" w:sz="4" w:space="0"/>
            </w:tcBorders>
            <w:noWrap/>
          </w:tcPr>
          <w:p>
            <w:pPr>
              <w:spacing w:line="400" w:lineRule="exact"/>
              <w:jc w:val="center"/>
              <w:rPr>
                <w:rFonts w:hint="eastAsia" w:ascii="宋体" w:hAnsi="宋体" w:eastAsia="宋体" w:cs="宋体"/>
                <w:b/>
                <w:szCs w:val="21"/>
              </w:rPr>
            </w:pPr>
          </w:p>
        </w:tc>
        <w:tc>
          <w:tcPr>
            <w:tcW w:w="1140" w:type="dxa"/>
            <w:tcBorders>
              <w:top w:val="single" w:color="000000" w:sz="6" w:space="0"/>
              <w:left w:val="single" w:color="auto" w:sz="4" w:space="0"/>
              <w:bottom w:val="single" w:color="000000" w:sz="6" w:space="0"/>
              <w:right w:val="single" w:color="000000" w:sz="6" w:space="0"/>
            </w:tcBorders>
            <w:noWrap/>
          </w:tcPr>
          <w:p>
            <w:pPr>
              <w:spacing w:line="400" w:lineRule="exact"/>
              <w:jc w:val="center"/>
              <w:rPr>
                <w:rFonts w:hint="eastAsia" w:ascii="宋体" w:hAnsi="宋体" w:eastAsia="宋体" w:cs="宋体"/>
                <w:b/>
                <w:szCs w:val="21"/>
              </w:rPr>
            </w:pPr>
          </w:p>
        </w:tc>
        <w:tc>
          <w:tcPr>
            <w:tcW w:w="825" w:type="dxa"/>
            <w:tcBorders>
              <w:top w:val="single" w:color="auto" w:sz="4" w:space="0"/>
              <w:left w:val="single" w:color="000000" w:sz="6" w:space="0"/>
              <w:bottom w:val="single" w:color="auto" w:sz="4"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705" w:type="dxa"/>
            <w:vMerge w:val="continue"/>
            <w:tcBorders>
              <w:left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p>
        </w:tc>
        <w:tc>
          <w:tcPr>
            <w:tcW w:w="1215" w:type="dxa"/>
            <w:vMerge w:val="continue"/>
            <w:tcBorders>
              <w:left w:val="single" w:color="000000" w:sz="6" w:space="0"/>
              <w:right w:val="doub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rPr>
                <w:rFonts w:hint="eastAsia" w:ascii="宋体" w:hAnsi="宋体" w:eastAsia="宋体" w:cs="宋体"/>
                <w:szCs w:val="21"/>
              </w:rPr>
            </w:pP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000000" w:sz="6" w:space="0"/>
              <w:left w:val="single" w:color="auto" w:sz="4" w:space="0"/>
              <w:bottom w:val="single" w:color="000000" w:sz="6" w:space="0"/>
              <w:right w:val="single" w:color="auto" w:sz="4" w:space="0"/>
            </w:tcBorders>
            <w:noWrap/>
          </w:tcPr>
          <w:p>
            <w:pPr>
              <w:adjustRightInd w:val="0"/>
              <w:snapToGrid w:val="0"/>
              <w:spacing w:line="400" w:lineRule="exact"/>
              <w:textAlignment w:val="center"/>
              <w:rPr>
                <w:rFonts w:hint="eastAsia" w:ascii="宋体" w:hAnsi="宋体" w:eastAsia="宋体" w:cs="宋体"/>
                <w:bCs/>
                <w:szCs w:val="21"/>
              </w:rPr>
            </w:pPr>
          </w:p>
        </w:tc>
        <w:tc>
          <w:tcPr>
            <w:tcW w:w="1140" w:type="dxa"/>
            <w:tcBorders>
              <w:top w:val="single" w:color="000000" w:sz="6" w:space="0"/>
              <w:left w:val="single" w:color="auto" w:sz="4" w:space="0"/>
              <w:bottom w:val="single" w:color="000000" w:sz="6" w:space="0"/>
              <w:right w:val="single" w:color="000000" w:sz="6" w:space="0"/>
            </w:tcBorders>
            <w:noWrap/>
          </w:tcPr>
          <w:p>
            <w:pPr>
              <w:adjustRightInd w:val="0"/>
              <w:snapToGrid w:val="0"/>
              <w:spacing w:line="400" w:lineRule="exact"/>
              <w:textAlignment w:val="center"/>
              <w:rPr>
                <w:rFonts w:hint="eastAsia" w:ascii="宋体" w:hAnsi="宋体" w:eastAsia="宋体" w:cs="宋体"/>
                <w:bCs/>
                <w:szCs w:val="21"/>
              </w:rPr>
            </w:pPr>
          </w:p>
        </w:tc>
        <w:tc>
          <w:tcPr>
            <w:tcW w:w="825" w:type="dxa"/>
            <w:tcBorders>
              <w:top w:val="single" w:color="auto" w:sz="4" w:space="0"/>
              <w:left w:val="single" w:color="000000" w:sz="6" w:space="0"/>
              <w:bottom w:val="single" w:color="auto" w:sz="4" w:space="0"/>
              <w:right w:val="single" w:color="auto" w:sz="4" w:space="0"/>
            </w:tcBorders>
            <w:noWrap/>
            <w:vAlign w:val="center"/>
          </w:tcPr>
          <w:p>
            <w:pPr>
              <w:spacing w:line="400" w:lineRule="exact"/>
              <w:rPr>
                <w:rFonts w:hint="eastAsia" w:ascii="宋体" w:hAnsi="宋体" w:eastAsia="宋体" w:cs="宋体"/>
                <w:szCs w:val="21"/>
              </w:rPr>
            </w:pPr>
          </w:p>
        </w:tc>
        <w:tc>
          <w:tcPr>
            <w:tcW w:w="705" w:type="dxa"/>
            <w:vMerge w:val="continue"/>
            <w:tcBorders>
              <w:left w:val="single" w:color="auto" w:sz="4" w:space="0"/>
              <w:right w:val="double" w:color="auto" w:sz="4" w:space="0"/>
            </w:tcBorders>
            <w:noWrap/>
            <w:vAlign w:val="center"/>
          </w:tcPr>
          <w:p>
            <w:pPr>
              <w:spacing w:line="400" w:lineRule="exact"/>
              <w:rPr>
                <w:rFonts w:hint="eastAsia" w:ascii="宋体" w:hAnsi="宋体" w:eastAsia="宋体" w:cs="宋体"/>
                <w:szCs w:val="21"/>
              </w:rPr>
            </w:pPr>
          </w:p>
        </w:tc>
        <w:tc>
          <w:tcPr>
            <w:tcW w:w="1215" w:type="dxa"/>
            <w:vMerge w:val="continue"/>
            <w:tcBorders>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1710" w:type="dxa"/>
            <w:gridSpan w:val="2"/>
            <w:tcBorders>
              <w:top w:val="single" w:color="000000" w:sz="6" w:space="0"/>
              <w:left w:val="double" w:color="auto" w:sz="4" w:space="0"/>
              <w:bottom w:val="single" w:color="000000" w:sz="6" w:space="0"/>
              <w:right w:val="single" w:color="000000" w:sz="6" w:space="0"/>
            </w:tcBorders>
            <w:noWrap/>
            <w:vAlign w:val="center"/>
          </w:tcPr>
          <w:p>
            <w:pPr>
              <w:spacing w:line="400" w:lineRule="exact"/>
              <w:rPr>
                <w:rFonts w:hint="default" w:ascii="宋体" w:hAnsi="宋体" w:eastAsia="宋体" w:cs="宋体"/>
                <w:szCs w:val="21"/>
                <w:lang w:val="en-US" w:eastAsia="zh-CN"/>
              </w:rPr>
            </w:pPr>
            <w:r>
              <w:rPr>
                <w:rFonts w:hint="eastAsia" w:ascii="宋体" w:hAnsi="宋体" w:eastAsia="宋体" w:cs="宋体"/>
                <w:szCs w:val="21"/>
                <w:lang w:val="en-US" w:eastAsia="zh-CN"/>
              </w:rPr>
              <w:t>投标总价（小写）：</w:t>
            </w:r>
          </w:p>
        </w:tc>
        <w:tc>
          <w:tcPr>
            <w:tcW w:w="4995" w:type="dxa"/>
            <w:gridSpan w:val="5"/>
            <w:tcBorders>
              <w:top w:val="single" w:color="000000" w:sz="6" w:space="0"/>
              <w:left w:val="single" w:color="auto" w:sz="4" w:space="0"/>
              <w:bottom w:val="single" w:color="000000" w:sz="6" w:space="0"/>
              <w:right w:val="double" w:color="auto" w:sz="4" w:space="0"/>
            </w:tcBorders>
            <w:noWrap/>
          </w:tcPr>
          <w:p>
            <w:pPr>
              <w:spacing w:line="400" w:lineRule="exact"/>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1710" w:type="dxa"/>
            <w:gridSpan w:val="2"/>
            <w:tcBorders>
              <w:top w:val="single" w:color="000000" w:sz="6" w:space="0"/>
              <w:left w:val="doub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r>
              <w:rPr>
                <w:rFonts w:hint="eastAsia" w:ascii="宋体" w:hAnsi="宋体" w:eastAsia="宋体" w:cs="宋体"/>
                <w:szCs w:val="21"/>
                <w:lang w:val="en-US" w:eastAsia="zh-CN"/>
              </w:rPr>
              <w:t>投标总价（大写）：</w:t>
            </w:r>
          </w:p>
        </w:tc>
        <w:tc>
          <w:tcPr>
            <w:tcW w:w="4995" w:type="dxa"/>
            <w:gridSpan w:val="5"/>
            <w:tcBorders>
              <w:top w:val="single" w:color="000000" w:sz="6" w:space="0"/>
              <w:left w:val="single" w:color="auto" w:sz="4" w:space="0"/>
              <w:bottom w:val="single" w:color="000000" w:sz="6" w:space="0"/>
              <w:right w:val="double" w:color="auto" w:sz="4" w:space="0"/>
            </w:tcBorders>
            <w:noWrap/>
          </w:tcPr>
          <w:p>
            <w:pPr>
              <w:spacing w:line="400" w:lineRule="exact"/>
              <w:rPr>
                <w:rFonts w:hint="eastAsia" w:ascii="宋体" w:hAnsi="宋体" w:eastAsia="宋体" w:cs="宋体"/>
                <w:szCs w:val="21"/>
              </w:rPr>
            </w:pPr>
          </w:p>
        </w:tc>
      </w:tr>
    </w:tbl>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pPr>
    </w:p>
    <w:p>
      <w:pPr>
        <w:adjustRightInd w:val="0"/>
        <w:snapToGrid w:val="0"/>
        <w:spacing w:before="50" w:line="400" w:lineRule="exact"/>
        <w:rPr>
          <w:rFonts w:hint="eastAsia" w:ascii="宋体" w:hAnsi="宋体" w:eastAsia="宋体" w:cs="宋体"/>
          <w:szCs w:val="21"/>
        </w:rPr>
      </w:pPr>
      <w:r>
        <w:rPr>
          <w:rFonts w:hint="eastAsia" w:ascii="宋体" w:hAnsi="宋体" w:eastAsia="宋体" w:cs="宋体"/>
          <w:szCs w:val="21"/>
        </w:rPr>
        <w:t>供应商名称（单位章）：</w:t>
      </w:r>
    </w:p>
    <w:p>
      <w:pPr>
        <w:adjustRightInd w:val="0"/>
        <w:snapToGrid w:val="0"/>
        <w:spacing w:before="50" w:line="400" w:lineRule="exact"/>
        <w:rPr>
          <w:rFonts w:hint="eastAsia" w:ascii="宋体" w:hAnsi="宋体" w:eastAsia="宋体" w:cs="宋体"/>
          <w:szCs w:val="21"/>
        </w:rPr>
      </w:pPr>
      <w:r>
        <w:rPr>
          <w:rFonts w:hint="eastAsia" w:ascii="宋体" w:hAnsi="宋体" w:eastAsia="宋体" w:cs="宋体"/>
          <w:szCs w:val="21"/>
        </w:rPr>
        <w:t>法定代表人或其授权的代理人(签字)：</w:t>
      </w:r>
    </w:p>
    <w:p>
      <w:pPr>
        <w:spacing w:line="400" w:lineRule="exact"/>
        <w:rPr>
          <w:rFonts w:hint="eastAsia" w:ascii="宋体" w:hAnsi="宋体" w:eastAsia="宋体" w:cs="宋体"/>
        </w:rPr>
      </w:pPr>
      <w:r>
        <w:rPr>
          <w:rFonts w:hint="eastAsia" w:ascii="宋体" w:hAnsi="宋体" w:eastAsia="宋体" w:cs="宋体"/>
          <w:szCs w:val="21"/>
        </w:rPr>
        <w:t>日期：   年   月   日</w:t>
      </w:r>
    </w:p>
    <w:p>
      <w:pPr>
        <w:adjustRightInd w:val="0"/>
        <w:snapToGrid w:val="0"/>
        <w:spacing w:line="400" w:lineRule="exact"/>
        <w:ind w:left="-88" w:leftChars="-42"/>
        <w:rPr>
          <w:rFonts w:hint="eastAsia" w:ascii="宋体" w:hAnsi="宋体" w:eastAsia="宋体" w:cs="宋体"/>
          <w:szCs w:val="21"/>
        </w:rPr>
      </w:pPr>
      <w:bookmarkStart w:id="196" w:name="_Toc4018"/>
      <w:r>
        <w:rPr>
          <w:rFonts w:hint="eastAsia" w:ascii="宋体" w:hAnsi="宋体" w:eastAsia="宋体" w:cs="宋体"/>
          <w:b/>
          <w:szCs w:val="21"/>
        </w:rPr>
        <w:t>备注：</w:t>
      </w:r>
      <w:r>
        <w:rPr>
          <w:rFonts w:hint="eastAsia" w:ascii="宋体" w:hAnsi="宋体" w:eastAsia="宋体" w:cs="宋体"/>
          <w:szCs w:val="21"/>
        </w:rPr>
        <w:t>（1）报价指完成供货、验收合格所需的各种费用及必要的保险费用和各项税金等所有费用的总和。包括但不限于：安装、随机零配件、标配工具、运输保险、质保期服务、各项税费等需要的一切费用及合同实施过程中不可预见费用。</w:t>
      </w:r>
    </w:p>
    <w:p>
      <w:pPr>
        <w:adjustRightInd w:val="0"/>
        <w:snapToGrid w:val="0"/>
        <w:spacing w:line="400" w:lineRule="exact"/>
        <w:ind w:left="-88" w:leftChars="-42"/>
        <w:rPr>
          <w:rFonts w:hint="eastAsia" w:ascii="宋体" w:hAnsi="宋体" w:eastAsia="宋体" w:cs="宋体"/>
          <w:szCs w:val="21"/>
        </w:rPr>
      </w:pPr>
      <w:r>
        <w:rPr>
          <w:rFonts w:hint="eastAsia" w:ascii="宋体" w:hAnsi="宋体" w:eastAsia="宋体" w:cs="宋体"/>
          <w:szCs w:val="21"/>
        </w:rPr>
        <w:t>（2）单价应包括必不可少的部件、标准备件等费用。</w:t>
      </w:r>
    </w:p>
    <w:p>
      <w:pPr>
        <w:adjustRightInd w:val="0"/>
        <w:snapToGrid w:val="0"/>
        <w:spacing w:line="400" w:lineRule="exact"/>
        <w:ind w:left="-88" w:leftChars="-42"/>
        <w:rPr>
          <w:rFonts w:hint="eastAsia" w:ascii="宋体" w:hAnsi="宋体" w:eastAsia="宋体" w:cs="宋体"/>
          <w:szCs w:val="21"/>
        </w:rPr>
      </w:pPr>
      <w:r>
        <w:rPr>
          <w:rFonts w:hint="eastAsia" w:ascii="宋体" w:hAnsi="宋体" w:eastAsia="宋体" w:cs="宋体"/>
          <w:szCs w:val="21"/>
        </w:rPr>
        <w:t>（3）如果单价与总价不符时，以单价为准，并修正总价。</w:t>
      </w:r>
    </w:p>
    <w:p>
      <w:pPr>
        <w:adjustRightInd w:val="0"/>
        <w:snapToGrid w:val="0"/>
        <w:spacing w:line="400" w:lineRule="exact"/>
        <w:ind w:left="-88" w:leftChars="-42"/>
        <w:rPr>
          <w:rFonts w:hint="eastAsia" w:ascii="宋体" w:hAnsi="宋体" w:eastAsia="宋体" w:cs="宋体"/>
          <w:szCs w:val="21"/>
        </w:rPr>
      </w:pPr>
      <w:r>
        <w:rPr>
          <w:rFonts w:hint="eastAsia" w:ascii="宋体" w:hAnsi="宋体" w:eastAsia="宋体" w:cs="宋体"/>
          <w:szCs w:val="21"/>
        </w:rPr>
        <w:t>（4） 表格长度可根据需要自行调整，表中所列内容为必须填写项目，供应商可根据自身情况增加内容。</w:t>
      </w:r>
    </w:p>
    <w:p>
      <w:pPr>
        <w:adjustRightInd w:val="0"/>
        <w:snapToGrid w:val="0"/>
        <w:spacing w:line="400" w:lineRule="exact"/>
        <w:ind w:left="-88" w:leftChars="-42"/>
        <w:rPr>
          <w:rFonts w:hint="eastAsia" w:ascii="宋体" w:hAnsi="宋体" w:eastAsia="宋体" w:cs="宋体"/>
          <w:szCs w:val="21"/>
        </w:rPr>
        <w:sectPr>
          <w:pgSz w:w="11906" w:h="16838"/>
          <w:pgMar w:top="1418" w:right="1134" w:bottom="1134" w:left="1417" w:header="936" w:footer="720" w:gutter="0"/>
          <w:cols w:space="720" w:num="1"/>
          <w:docGrid w:linePitch="331" w:charSpace="0"/>
        </w:sectPr>
      </w:pPr>
      <w:r>
        <w:rPr>
          <w:rFonts w:hint="eastAsia" w:ascii="宋体" w:hAnsi="宋体" w:eastAsia="宋体" w:cs="宋体"/>
          <w:szCs w:val="21"/>
        </w:rPr>
        <w:t>（5）本表可用附表形式把需求一览表中所有产品生产厂商、规格型号、单价等内容进行详细说明。</w:t>
      </w:r>
    </w:p>
    <w:p>
      <w:pPr>
        <w:pStyle w:val="5"/>
        <w:bidi w:val="0"/>
        <w:rPr>
          <w:rFonts w:hint="default" w:eastAsia="仿宋_GB2312"/>
          <w:lang w:val="en-US" w:eastAsia="zh-CN"/>
        </w:rPr>
      </w:pPr>
      <w:bookmarkStart w:id="197" w:name="_Toc9556"/>
      <w:r>
        <w:rPr>
          <w:rFonts w:hint="default" w:ascii="Times New Roman" w:hAnsi="Times New Roman" w:eastAsia="宋体" w:cs="Times New Roman"/>
          <w:lang w:val="en-US" w:eastAsia="zh-CN"/>
        </w:rPr>
        <w:t>4.4 技术规格偏离表</w:t>
      </w:r>
      <w:bookmarkEnd w:id="197"/>
    </w:p>
    <w:p>
      <w:pPr>
        <w:tabs>
          <w:tab w:val="left" w:pos="3780"/>
          <w:tab w:val="center" w:pos="7143"/>
        </w:tabs>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技术规格偏离表</w:t>
      </w:r>
    </w:p>
    <w:p>
      <w:pPr>
        <w:spacing w:line="360" w:lineRule="auto"/>
        <w:ind w:firstLine="420" w:firstLineChars="200"/>
        <w:jc w:val="left"/>
        <w:rPr>
          <w:rFonts w:ascii="宋体" w:hAnsi="宋体" w:eastAsia="宋体" w:cs="宋体"/>
          <w:color w:val="000000"/>
        </w:rPr>
      </w:pPr>
      <w:r>
        <w:rPr>
          <w:rFonts w:hint="eastAsia" w:ascii="宋体" w:hAnsi="宋体" w:eastAsia="宋体" w:cs="宋体"/>
          <w:color w:val="000000"/>
        </w:rPr>
        <w:t>供应商应按所投产品的实际参数，逐条对应磋商文件的第五章“采购需求”中的要求如实、完整、准确的填写该表。</w:t>
      </w:r>
    </w:p>
    <w:p>
      <w:pPr>
        <w:spacing w:line="360" w:lineRule="auto"/>
        <w:ind w:firstLine="420" w:firstLineChars="200"/>
        <w:jc w:val="left"/>
        <w:rPr>
          <w:rFonts w:ascii="宋体" w:hAnsi="宋体" w:eastAsia="宋体" w:cs="宋体"/>
          <w:color w:val="000000"/>
        </w:rPr>
      </w:pPr>
      <w:r>
        <w:rPr>
          <w:rFonts w:hint="eastAsia" w:ascii="宋体" w:hAnsi="宋体" w:eastAsia="宋体" w:cs="宋体"/>
          <w:color w:val="000000"/>
        </w:rPr>
        <w:t>项目名称：</w:t>
      </w:r>
      <w:r>
        <w:rPr>
          <w:rFonts w:hint="eastAsia" w:ascii="宋体" w:hAnsi="宋体" w:eastAsia="宋体" w:cs="宋体"/>
          <w:color w:val="000000"/>
          <w:szCs w:val="21"/>
        </w:rPr>
        <w:t xml:space="preserve">                                                项目编号：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27"/>
        <w:gridCol w:w="3827"/>
        <w:gridCol w:w="3969"/>
        <w:gridCol w:w="827"/>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r>
              <w:rPr>
                <w:rFonts w:hint="eastAsia" w:ascii="宋体" w:hAnsi="宋体" w:eastAsia="宋体" w:cs="宋体"/>
                <w:color w:val="000000"/>
              </w:rPr>
              <w:t>序号</w:t>
            </w:r>
          </w:p>
        </w:tc>
        <w:tc>
          <w:tcPr>
            <w:tcW w:w="1827" w:type="dxa"/>
            <w:vAlign w:val="center"/>
          </w:tcPr>
          <w:p>
            <w:pPr>
              <w:jc w:val="left"/>
              <w:rPr>
                <w:rFonts w:ascii="宋体" w:hAnsi="宋体" w:eastAsia="宋体" w:cs="宋体"/>
                <w:color w:val="000000"/>
              </w:rPr>
            </w:pPr>
            <w:r>
              <w:rPr>
                <w:rFonts w:hint="eastAsia" w:ascii="宋体" w:hAnsi="宋体" w:eastAsia="宋体" w:cs="宋体"/>
                <w:color w:val="000000"/>
              </w:rPr>
              <w:t>货物名称</w:t>
            </w:r>
          </w:p>
        </w:tc>
        <w:tc>
          <w:tcPr>
            <w:tcW w:w="3827" w:type="dxa"/>
            <w:vAlign w:val="center"/>
          </w:tcPr>
          <w:p>
            <w:pPr>
              <w:jc w:val="left"/>
              <w:rPr>
                <w:rFonts w:ascii="宋体" w:hAnsi="宋体" w:eastAsia="宋体" w:cs="宋体"/>
                <w:color w:val="000000"/>
              </w:rPr>
            </w:pPr>
            <w:r>
              <w:rPr>
                <w:rFonts w:hint="eastAsia" w:ascii="宋体" w:hAnsi="宋体" w:eastAsia="宋体" w:cs="宋体"/>
                <w:color w:val="000000"/>
              </w:rPr>
              <w:t>磋商文件技术标准（规范）及要求</w:t>
            </w:r>
          </w:p>
        </w:tc>
        <w:tc>
          <w:tcPr>
            <w:tcW w:w="3969" w:type="dxa"/>
            <w:vAlign w:val="center"/>
          </w:tcPr>
          <w:p>
            <w:pPr>
              <w:jc w:val="left"/>
              <w:rPr>
                <w:rFonts w:ascii="宋体" w:hAnsi="宋体" w:eastAsia="宋体" w:cs="宋体"/>
                <w:color w:val="000000"/>
              </w:rPr>
            </w:pPr>
            <w:r>
              <w:rPr>
                <w:rFonts w:hint="eastAsia" w:ascii="宋体" w:hAnsi="宋体" w:eastAsia="宋体" w:cs="宋体"/>
                <w:color w:val="000000"/>
              </w:rPr>
              <w:t>投标品牌、型号、技术参数及配置</w:t>
            </w:r>
          </w:p>
        </w:tc>
        <w:tc>
          <w:tcPr>
            <w:tcW w:w="827" w:type="dxa"/>
            <w:vAlign w:val="center"/>
          </w:tcPr>
          <w:p>
            <w:pPr>
              <w:jc w:val="left"/>
              <w:rPr>
                <w:rFonts w:ascii="宋体" w:hAnsi="宋体" w:eastAsia="宋体" w:cs="宋体"/>
                <w:color w:val="000000"/>
              </w:rPr>
            </w:pPr>
            <w:r>
              <w:rPr>
                <w:rFonts w:hint="eastAsia" w:ascii="宋体" w:hAnsi="宋体" w:eastAsia="宋体" w:cs="宋体"/>
                <w:color w:val="000000"/>
              </w:rPr>
              <w:t>偏离</w:t>
            </w:r>
          </w:p>
        </w:tc>
        <w:tc>
          <w:tcPr>
            <w:tcW w:w="3084" w:type="dxa"/>
            <w:vAlign w:val="center"/>
          </w:tcPr>
          <w:p>
            <w:pPr>
              <w:jc w:val="left"/>
              <w:rPr>
                <w:rFonts w:ascii="宋体" w:hAnsi="宋体" w:eastAsia="宋体" w:cs="宋体"/>
                <w:color w:val="000000"/>
              </w:rPr>
            </w:pPr>
            <w:r>
              <w:rPr>
                <w:rFonts w:hint="eastAsia" w:ascii="宋体" w:hAnsi="宋体" w:eastAsia="宋体" w:cs="宋体"/>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bl>
    <w:p>
      <w:pPr>
        <w:spacing w:line="360" w:lineRule="auto"/>
        <w:ind w:firstLine="2" w:firstLineChars="1"/>
        <w:jc w:val="left"/>
        <w:rPr>
          <w:rFonts w:ascii="宋体" w:hAnsi="宋体" w:eastAsia="宋体" w:cs="宋体"/>
          <w:color w:val="000000"/>
        </w:rPr>
      </w:pP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供应商：（盖单位公章）</w:t>
      </w: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法定代表人（负责人）或委托代理人：（签字或盖章）</w:t>
      </w: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日期：    年    月    日</w:t>
      </w:r>
    </w:p>
    <w:p>
      <w:pPr>
        <w:spacing w:line="360" w:lineRule="auto"/>
        <w:jc w:val="left"/>
        <w:rPr>
          <w:rFonts w:ascii="宋体" w:hAnsi="宋体" w:eastAsia="宋体" w:cs="宋体"/>
          <w:b/>
          <w:color w:val="000000"/>
        </w:rPr>
      </w:pPr>
      <w:r>
        <w:rPr>
          <w:rFonts w:hint="eastAsia" w:ascii="宋体" w:hAnsi="宋体" w:eastAsia="宋体" w:cs="宋体"/>
          <w:b/>
          <w:color w:val="000000"/>
        </w:rPr>
        <w:t>表格填写说明：</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1、表格中“货物名称”及“磋商文件技术标准（规范）及要求”可按“货物采购需求一览表”内容复制。</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2、表格中“投标品牌、型号、技术参数及配置”请供应商根据实际投标情况如实、完整、准确地填写，请勿复制、粘贴招标要求。若由于供应商的疏忽大意或未能完整、如实填写，导致的一切后果由供应商自行承担。</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3、表格中“偏离”部分，供应商只能如实填写“有偏离”或“无偏离”。凡投标内容与磋商文件要求有区别的均按“有偏离”填写，并在说明栏中写明技术指标。</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4、表格中“说明”部分，若有偏离，则填写偏离指标。若无偏离，则不填写内容。</w:t>
      </w:r>
    </w:p>
    <w:p>
      <w:pPr>
        <w:jc w:val="left"/>
        <w:rPr>
          <w:rFonts w:ascii="Times New Roman" w:hAnsi="Times New Roman" w:eastAsia="宋体" w:cs="Times New Roman"/>
          <w:color w:val="000000"/>
          <w:sz w:val="18"/>
          <w:szCs w:val="18"/>
        </w:rPr>
      </w:pPr>
      <w:r>
        <w:rPr>
          <w:rFonts w:hint="eastAsia" w:ascii="宋体" w:hAnsi="宋体" w:eastAsia="宋体" w:cs="宋体"/>
          <w:color w:val="000000"/>
          <w:sz w:val="18"/>
          <w:szCs w:val="18"/>
        </w:rPr>
        <w:t>5、本表格中内容与投标文件其余部分不一致的，以本表格为准</w:t>
      </w:r>
      <w:r>
        <w:rPr>
          <w:rFonts w:ascii="Times New Roman" w:hAnsi="Times New Roman" w:eastAsia="宋体" w:cs="Times New Roman"/>
          <w:color w:val="000000"/>
          <w:sz w:val="18"/>
          <w:szCs w:val="18"/>
        </w:rPr>
        <w:t>。</w:t>
      </w:r>
    </w:p>
    <w:p>
      <w:pPr>
        <w:spacing w:line="36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6、填表示例：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319"/>
        <w:gridCol w:w="4587"/>
        <w:gridCol w:w="4307"/>
        <w:gridCol w:w="1006"/>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货物名称</w:t>
            </w:r>
          </w:p>
        </w:tc>
        <w:tc>
          <w:tcPr>
            <w:tcW w:w="4587"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磋商</w:t>
            </w:r>
            <w:r>
              <w:rPr>
                <w:rFonts w:ascii="Times New Roman" w:hAnsi="Times New Roman" w:eastAsia="宋体" w:cs="Times New Roman"/>
                <w:color w:val="000000"/>
                <w:szCs w:val="21"/>
              </w:rPr>
              <w:t>文件技术规范、要求</w:t>
            </w:r>
          </w:p>
        </w:tc>
        <w:tc>
          <w:tcPr>
            <w:tcW w:w="4307"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投标品牌、型号、技术参数及配置</w:t>
            </w:r>
          </w:p>
        </w:tc>
        <w:tc>
          <w:tcPr>
            <w:tcW w:w="1006"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偏离</w:t>
            </w:r>
          </w:p>
        </w:tc>
        <w:tc>
          <w:tcPr>
            <w:tcW w:w="2823"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台式电脑</w:t>
            </w:r>
          </w:p>
        </w:tc>
        <w:tc>
          <w:tcPr>
            <w:tcW w:w="4587" w:type="dxa"/>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Intel酷睿双核 E7400/Intel 芯片组/2*1G DDR2/320G SATA/256M 双头独立显卡/DVD刻录/主板集成声卡网卡/机箱电源/鼠标/键盘/硬盘保护卡/ 22″LCD 2台（参考品牌型号：联想启天M690）</w:t>
            </w:r>
          </w:p>
          <w:p>
            <w:pP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★该项产品为政府强制采购节能产品，必须选报在财政部、国家发改委联合公布的《节能产品政府采购清单》中的产品，并在投标文件中提供投标产品在“节能清单”中单页复印件一份, 并在复印件上标注出所投产品及型号。否则，符合性评审不予通过。</w:t>
            </w:r>
          </w:p>
        </w:tc>
        <w:tc>
          <w:tcPr>
            <w:tcW w:w="4307" w:type="dxa"/>
            <w:vAlign w:val="center"/>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联想 扬天 M5300N；AMD Athlon64 X2 7750 2.7G ；RS690V芯片组 ；DDR2 2GB；SATA硬盘 7200转、320GB；硬盘保护卡；光驱 DVD刻录；22寸液晶 2台；显卡 ATI Radeon HD 4350 显存512M 支持DirectX 10；板载声卡；网卡 板载10-100M网卡； 键盘/光电鼠标 ；操作系统 Windows XP Home，政府节能产品，清单复印件附后。</w:t>
            </w:r>
          </w:p>
          <w:p>
            <w:pPr>
              <w:jc w:val="center"/>
              <w:rPr>
                <w:rFonts w:ascii="Times New Roman" w:hAnsi="Times New Roman" w:eastAsia="宋体" w:cs="Times New Roman"/>
                <w:color w:val="000000"/>
                <w:sz w:val="18"/>
                <w:szCs w:val="18"/>
              </w:rPr>
            </w:pPr>
          </w:p>
        </w:tc>
        <w:tc>
          <w:tcPr>
            <w:tcW w:w="100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有偏离</w:t>
            </w:r>
          </w:p>
        </w:tc>
        <w:tc>
          <w:tcPr>
            <w:tcW w:w="2823" w:type="dxa"/>
            <w:vAlign w:val="center"/>
          </w:tcPr>
          <w:p>
            <w:pP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1、AMD Athlon64 X2 7750 2.7G；</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r>
              <w:rPr>
                <w:rFonts w:ascii="Times New Roman" w:hAnsi="Times New Roman" w:eastAsia="宋体" w:cs="Times New Roman"/>
                <w:color w:val="000000"/>
                <w:kern w:val="0"/>
                <w:sz w:val="18"/>
                <w:szCs w:val="18"/>
              </w:rPr>
              <w:t>RS690V芯片组</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3、显卡 ATI Radeon HD 4350 显存512M 支持DirectX 10</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w:t>
            </w:r>
            <w:r>
              <w:rPr>
                <w:rFonts w:ascii="Times New Roman" w:hAnsi="Times New Roman" w:eastAsia="宋体" w:cs="Times New Roman"/>
                <w:color w:val="000000"/>
                <w:kern w:val="0"/>
                <w:sz w:val="18"/>
                <w:szCs w:val="18"/>
              </w:rPr>
              <w:t>操作系统 Windows XP 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打印机</w:t>
            </w:r>
          </w:p>
        </w:tc>
        <w:tc>
          <w:tcPr>
            <w:tcW w:w="4587"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黑白23/1200*1200（有效输出）/2MB/USB2.0接口/嵌入式网络打印服务器/纸张、信封、投影胶片、标签、卡片、明信片、硫酸纸//A4幅面，采用零秒预热技术；</w:t>
            </w:r>
          </w:p>
        </w:tc>
        <w:tc>
          <w:tcPr>
            <w:tcW w:w="4307"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爱普生Aculaser M8000N激光打印机；黑白23/1200*1200（有效输出）/2MB/USB2.0接口/嵌入式网络打印服务器/纸张、信封、投影胶片、标签、卡片、明信片、硫酸纸/A4幅面，零秒预热。</w:t>
            </w:r>
          </w:p>
        </w:tc>
        <w:tc>
          <w:tcPr>
            <w:tcW w:w="100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无偏离</w:t>
            </w:r>
          </w:p>
        </w:tc>
        <w:tc>
          <w:tcPr>
            <w:tcW w:w="2823" w:type="dxa"/>
            <w:vAlign w:val="center"/>
          </w:tcPr>
          <w:p>
            <w:pPr>
              <w:jc w:val="center"/>
              <w:rPr>
                <w:rFonts w:ascii="Times New Roman" w:hAnsi="Times New Roman" w:eastAsia="宋体" w:cs="Times New Roman"/>
                <w:color w:val="000000"/>
                <w:sz w:val="18"/>
                <w:szCs w:val="18"/>
              </w:rPr>
            </w:pPr>
          </w:p>
        </w:tc>
      </w:tr>
    </w:tbl>
    <w:p>
      <w:pPr>
        <w:pStyle w:val="7"/>
        <w:ind w:firstLine="0" w:firstLineChars="0"/>
        <w:rPr>
          <w:rFonts w:ascii="Times New Roman" w:hAnsi="Times New Roman" w:eastAsia="宋体" w:cs="Times New Roman"/>
          <w:color w:val="000000"/>
          <w:sz w:val="18"/>
          <w:szCs w:val="18"/>
        </w:rPr>
      </w:pPr>
    </w:p>
    <w:p>
      <w:pPr>
        <w:spacing w:line="360" w:lineRule="auto"/>
        <w:jc w:val="center"/>
        <w:rPr>
          <w:rFonts w:ascii="Times New Roman" w:hAnsi="Times New Roman" w:eastAsia="宋体" w:cs="Times New Roman"/>
          <w:b/>
          <w:bCs/>
          <w:color w:val="000000"/>
          <w:sz w:val="32"/>
          <w:szCs w:val="32"/>
        </w:rPr>
      </w:pPr>
    </w:p>
    <w:p>
      <w:pPr>
        <w:pStyle w:val="2"/>
        <w:rPr>
          <w:rFonts w:ascii="宋体" w:hAnsi="宋体" w:eastAsia="宋体" w:cs="宋体"/>
          <w:sz w:val="24"/>
        </w:rPr>
      </w:pPr>
    </w:p>
    <w:p>
      <w:pPr>
        <w:pStyle w:val="2"/>
        <w:rPr>
          <w:rFonts w:hint="eastAsia" w:ascii="宋体" w:hAnsi="宋体" w:eastAsia="宋体" w:cs="宋体"/>
          <w:szCs w:val="21"/>
        </w:rPr>
        <w:sectPr>
          <w:pgSz w:w="16838" w:h="11906" w:orient="landscape"/>
          <w:pgMar w:top="1417" w:right="1418" w:bottom="1134" w:left="1134" w:header="936" w:footer="720" w:gutter="0"/>
          <w:cols w:space="720" w:num="1"/>
          <w:docGrid w:linePitch="331" w:charSpace="0"/>
        </w:sectPr>
      </w:pPr>
    </w:p>
    <w:p>
      <w:pPr>
        <w:pStyle w:val="5"/>
        <w:spacing w:before="0" w:beforeLines="-2147483648" w:beforeAutospacing="0" w:after="0" w:afterLines="-2147483648" w:afterAutospacing="0"/>
        <w:jc w:val="center"/>
        <w:rPr>
          <w:rFonts w:ascii="Times New Roman" w:hAnsi="Times New Roman" w:eastAsia="宋体" w:cs="Times New Roman"/>
        </w:rPr>
      </w:pPr>
      <w:bookmarkStart w:id="198" w:name="_Toc12138"/>
      <w:r>
        <w:rPr>
          <w:rFonts w:hint="default" w:ascii="Times New Roman" w:hAnsi="Times New Roman" w:eastAsia="宋体" w:cs="Times New Roman"/>
          <w:szCs w:val="21"/>
          <w:lang w:val="en-US" w:eastAsia="zh-CN"/>
        </w:rPr>
        <w:t xml:space="preserve">4.5 </w:t>
      </w:r>
      <w:r>
        <w:rPr>
          <w:rFonts w:ascii="Times New Roman" w:hAnsi="Times New Roman" w:eastAsia="宋体" w:cs="Times New Roman"/>
          <w:b/>
          <w:bCs/>
          <w:color w:val="000000"/>
          <w:sz w:val="32"/>
          <w:szCs w:val="32"/>
        </w:rPr>
        <w:t>商务条款偏离表</w:t>
      </w:r>
      <w:bookmarkEnd w:id="198"/>
    </w:p>
    <w:p>
      <w:pPr>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商务条款偏离表</w:t>
      </w:r>
    </w:p>
    <w:p>
      <w:pPr>
        <w:spacing w:line="36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rPr>
        <w:t>供应商</w:t>
      </w:r>
      <w:r>
        <w:rPr>
          <w:rFonts w:ascii="Times New Roman" w:hAnsi="Times New Roman" w:eastAsia="宋体" w:cs="Times New Roman"/>
          <w:color w:val="000000"/>
          <w:sz w:val="24"/>
        </w:rPr>
        <w:t>应逐条对应</w:t>
      </w:r>
      <w:r>
        <w:rPr>
          <w:rFonts w:hint="eastAsia" w:ascii="Times New Roman" w:hAnsi="Times New Roman" w:eastAsia="宋体" w:cs="Times New Roman"/>
          <w:color w:val="000000"/>
          <w:sz w:val="24"/>
        </w:rPr>
        <w:t>磋商</w:t>
      </w:r>
      <w:r>
        <w:rPr>
          <w:rFonts w:ascii="Times New Roman" w:hAnsi="Times New Roman" w:eastAsia="宋体" w:cs="Times New Roman"/>
          <w:color w:val="000000"/>
          <w:sz w:val="24"/>
        </w:rPr>
        <w:t>文件第</w:t>
      </w:r>
      <w:r>
        <w:rPr>
          <w:rFonts w:hint="eastAsia" w:ascii="Times New Roman" w:hAnsi="Times New Roman" w:eastAsia="宋体" w:cs="Times New Roman"/>
          <w:color w:val="000000"/>
          <w:sz w:val="24"/>
        </w:rPr>
        <w:t>五</w:t>
      </w:r>
      <w:r>
        <w:rPr>
          <w:rFonts w:ascii="Times New Roman" w:hAnsi="Times New Roman" w:eastAsia="宋体" w:cs="Times New Roman"/>
          <w:color w:val="000000"/>
          <w:sz w:val="24"/>
        </w:rPr>
        <w:t>章“</w:t>
      </w:r>
      <w:r>
        <w:rPr>
          <w:rFonts w:ascii="Times New Roman" w:hAnsi="Times New Roman" w:eastAsia="宋体" w:cs="Times New Roman"/>
          <w:bCs/>
          <w:color w:val="000000"/>
          <w:sz w:val="24"/>
        </w:rPr>
        <w:t>采购需求</w:t>
      </w:r>
      <w:r>
        <w:rPr>
          <w:rFonts w:ascii="Times New Roman" w:hAnsi="Times New Roman" w:eastAsia="宋体" w:cs="Times New Roman"/>
          <w:color w:val="000000"/>
          <w:sz w:val="24"/>
        </w:rPr>
        <w:t>”和第三章“合同书样式及主要条款”中要求的商务条件，包括交货期、付款方式、交货地、履约保证金等内容，并根据实际投标情况如实填写本表格。</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r>
        <w:rPr>
          <w:rFonts w:hint="eastAsia" w:ascii="Times New Roman" w:hAnsi="Times New Roman" w:eastAsia="宋体" w:cs="Times New Roman"/>
          <w:color w:val="000000"/>
          <w:sz w:val="24"/>
          <w:u w:val="single"/>
        </w:rPr>
        <w:t xml:space="preserve">                                </w:t>
      </w:r>
    </w:p>
    <w:p>
      <w:pPr>
        <w:spacing w:line="360"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项目</w:t>
      </w:r>
      <w:r>
        <w:rPr>
          <w:rFonts w:ascii="Times New Roman" w:hAnsi="Times New Roman" w:eastAsia="宋体" w:cs="Times New Roman"/>
          <w:color w:val="000000"/>
          <w:sz w:val="24"/>
        </w:rPr>
        <w:t>编号：</w:t>
      </w:r>
      <w:r>
        <w:rPr>
          <w:rFonts w:hint="eastAsia" w:ascii="Times New Roman" w:hAnsi="Times New Roman" w:eastAsia="宋体" w:cs="Times New Roman"/>
          <w:color w:val="000000"/>
          <w:sz w:val="24"/>
          <w:u w:val="single"/>
        </w:rPr>
        <w:t xml:space="preserve">                                </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A、□我公司已详细阅读招标文件中项商务要求，所有商务要求均无偏离，中标后我公司将严格遵照执行。</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sz w:val="24"/>
        </w:rPr>
        <w:t>B、□我公司已详细阅读招标文件中项商务要求，除下述条款有偏离外，其余条款我公司均予以认可，中标后将严格遵照执行。</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4874"/>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序号</w:t>
            </w:r>
          </w:p>
        </w:tc>
        <w:tc>
          <w:tcPr>
            <w:tcW w:w="4874" w:type="dxa"/>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磋商</w:t>
            </w:r>
            <w:r>
              <w:rPr>
                <w:rFonts w:ascii="Times New Roman" w:hAnsi="Times New Roman" w:eastAsia="宋体" w:cs="Times New Roman"/>
                <w:color w:val="000000"/>
              </w:rPr>
              <w:t>文件的商务条款及要求</w:t>
            </w:r>
          </w:p>
        </w:tc>
        <w:tc>
          <w:tcPr>
            <w:tcW w:w="4212" w:type="dxa"/>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响应</w:t>
            </w:r>
            <w:r>
              <w:rPr>
                <w:rFonts w:ascii="Times New Roman" w:hAnsi="Times New Roman" w:eastAsia="宋体" w:cs="Times New Roman"/>
                <w:color w:val="000000"/>
              </w:rPr>
              <w:t>文件的商务条款及承诺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4874" w:type="dxa"/>
            <w:vAlign w:val="center"/>
          </w:tcPr>
          <w:p>
            <w:pPr>
              <w:jc w:val="center"/>
              <w:rPr>
                <w:rFonts w:ascii="Times New Roman" w:hAnsi="Times New Roman" w:eastAsia="宋体" w:cs="Times New Roman"/>
                <w:color w:val="000000"/>
              </w:rPr>
            </w:pPr>
          </w:p>
        </w:tc>
        <w:tc>
          <w:tcPr>
            <w:tcW w:w="4212"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4874" w:type="dxa"/>
            <w:vAlign w:val="center"/>
          </w:tcPr>
          <w:p>
            <w:pPr>
              <w:jc w:val="center"/>
              <w:rPr>
                <w:rFonts w:ascii="Times New Roman" w:hAnsi="Times New Roman" w:eastAsia="宋体" w:cs="Times New Roman"/>
                <w:color w:val="000000"/>
              </w:rPr>
            </w:pPr>
          </w:p>
        </w:tc>
        <w:tc>
          <w:tcPr>
            <w:tcW w:w="4212"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4874" w:type="dxa"/>
            <w:vAlign w:val="center"/>
          </w:tcPr>
          <w:p>
            <w:pPr>
              <w:jc w:val="center"/>
              <w:rPr>
                <w:rFonts w:ascii="Times New Roman" w:hAnsi="Times New Roman" w:eastAsia="宋体" w:cs="Times New Roman"/>
                <w:color w:val="000000"/>
              </w:rPr>
            </w:pPr>
          </w:p>
        </w:tc>
        <w:tc>
          <w:tcPr>
            <w:tcW w:w="4212"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4874" w:type="dxa"/>
            <w:vAlign w:val="center"/>
          </w:tcPr>
          <w:p>
            <w:pPr>
              <w:jc w:val="center"/>
              <w:rPr>
                <w:rFonts w:ascii="Times New Roman" w:hAnsi="Times New Roman" w:eastAsia="宋体" w:cs="Times New Roman"/>
                <w:color w:val="000000"/>
              </w:rPr>
            </w:pPr>
          </w:p>
        </w:tc>
        <w:tc>
          <w:tcPr>
            <w:tcW w:w="4212" w:type="dxa"/>
            <w:vAlign w:val="center"/>
          </w:tcPr>
          <w:p>
            <w:pPr>
              <w:jc w:val="center"/>
              <w:rPr>
                <w:rFonts w:ascii="Times New Roman" w:hAnsi="Times New Roman" w:eastAsia="宋体" w:cs="Times New Roman"/>
                <w:color w:val="000000"/>
              </w:rPr>
            </w:pPr>
          </w:p>
        </w:tc>
      </w:tr>
    </w:tbl>
    <w:p>
      <w:pPr>
        <w:spacing w:line="360" w:lineRule="auto"/>
        <w:ind w:firstLine="2" w:firstLineChars="1"/>
        <w:rPr>
          <w:rFonts w:ascii="Times New Roman" w:hAnsi="Times New Roman" w:eastAsia="宋体" w:cs="Times New Roman"/>
          <w:color w:val="000000"/>
        </w:rPr>
      </w:pPr>
    </w:p>
    <w:p>
      <w:pPr>
        <w:spacing w:line="360" w:lineRule="auto"/>
        <w:ind w:firstLine="2" w:firstLineChars="1"/>
        <w:rPr>
          <w:rFonts w:ascii="Times New Roman" w:hAnsi="Times New Roman" w:eastAsia="宋体" w:cs="Times New Roman"/>
          <w:color w:val="000000"/>
          <w:sz w:val="24"/>
        </w:rPr>
      </w:pPr>
    </w:p>
    <w:p>
      <w:pPr>
        <w:spacing w:line="360" w:lineRule="auto"/>
        <w:ind w:firstLine="2" w:firstLineChars="1"/>
        <w:rPr>
          <w:rFonts w:ascii="Times New Roman" w:hAnsi="Times New Roman" w:eastAsia="宋体" w:cs="Times New Roman"/>
          <w:color w:val="000000"/>
          <w:sz w:val="24"/>
        </w:rPr>
      </w:pPr>
      <w:r>
        <w:rPr>
          <w:rFonts w:hint="eastAsia" w:ascii="Times New Roman" w:hAnsi="Times New Roman" w:eastAsia="宋体" w:cs="Times New Roman"/>
          <w:color w:val="000000"/>
          <w:sz w:val="24"/>
        </w:rPr>
        <w:t>供应商</w:t>
      </w:r>
      <w:r>
        <w:rPr>
          <w:rFonts w:ascii="Times New Roman" w:hAnsi="Times New Roman" w:eastAsia="宋体" w:cs="Times New Roman"/>
          <w:color w:val="000000"/>
          <w:sz w:val="24"/>
        </w:rPr>
        <w:t>：（盖单位公章）</w:t>
      </w:r>
    </w:p>
    <w:p>
      <w:pPr>
        <w:spacing w:line="360" w:lineRule="auto"/>
        <w:ind w:firstLine="2" w:firstLineChars="1"/>
        <w:rPr>
          <w:rFonts w:ascii="Times New Roman" w:hAnsi="Times New Roman" w:eastAsia="宋体" w:cs="Times New Roman"/>
          <w:color w:val="000000"/>
          <w:sz w:val="24"/>
        </w:rPr>
      </w:pPr>
      <w:r>
        <w:rPr>
          <w:rFonts w:ascii="Times New Roman" w:hAnsi="Times New Roman" w:eastAsia="宋体" w:cs="Times New Roman"/>
          <w:color w:val="000000"/>
          <w:sz w:val="24"/>
        </w:rPr>
        <w:t>法定代表人（负责人）或委托代理人：（签字或盖章）</w:t>
      </w:r>
    </w:p>
    <w:p>
      <w:pPr>
        <w:spacing w:line="360" w:lineRule="auto"/>
        <w:ind w:firstLine="2" w:firstLineChars="1"/>
        <w:rPr>
          <w:rFonts w:ascii="Times New Roman" w:hAnsi="Times New Roman" w:eastAsia="宋体" w:cs="Times New Roman"/>
          <w:color w:val="000000"/>
        </w:rPr>
      </w:pPr>
      <w:r>
        <w:rPr>
          <w:rFonts w:hint="eastAsia" w:ascii="Times New Roman" w:hAnsi="Times New Roman" w:eastAsia="宋体" w:cs="Times New Roman"/>
          <w:color w:val="000000"/>
          <w:sz w:val="24"/>
        </w:rPr>
        <w:t xml:space="preserve">日期：   </w:t>
      </w:r>
      <w:r>
        <w:rPr>
          <w:rFonts w:ascii="Times New Roman" w:hAnsi="Times New Roman" w:eastAsia="宋体" w:cs="Times New Roman"/>
          <w:color w:val="000000"/>
          <w:sz w:val="24"/>
        </w:rPr>
        <w:t>年</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月</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日</w:t>
      </w:r>
    </w:p>
    <w:p>
      <w:pPr>
        <w:spacing w:line="360" w:lineRule="auto"/>
        <w:rPr>
          <w:rFonts w:ascii="Times New Roman" w:hAnsi="Times New Roman" w:eastAsia="宋体" w:cs="Times New Roman"/>
          <w:b/>
          <w:color w:val="000000"/>
        </w:rPr>
        <w:sectPr>
          <w:pgSz w:w="16838" w:h="11906" w:orient="landscape"/>
          <w:pgMar w:top="1417" w:right="1418" w:bottom="1134" w:left="1134" w:header="936" w:footer="720" w:gutter="0"/>
          <w:cols w:space="720" w:num="1"/>
          <w:docGrid w:linePitch="331" w:charSpace="0"/>
        </w:sectPr>
      </w:pPr>
    </w:p>
    <w:p>
      <w:pPr>
        <w:spacing w:line="360" w:lineRule="auto"/>
        <w:rPr>
          <w:rFonts w:ascii="Times New Roman" w:hAnsi="Times New Roman" w:eastAsia="宋体" w:cs="Times New Roman"/>
          <w:b/>
          <w:color w:val="000000"/>
          <w:sz w:val="24"/>
        </w:rPr>
      </w:pPr>
      <w:r>
        <w:rPr>
          <w:rFonts w:ascii="Times New Roman" w:hAnsi="Times New Roman" w:eastAsia="宋体" w:cs="Times New Roman"/>
          <w:b/>
          <w:color w:val="000000"/>
          <w:sz w:val="24"/>
        </w:rPr>
        <w:t>表格填写说明：</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1、供应商应根据实际投标情况填写本表格，若无偏离，则勾选A项，签字盖章即可。若有偏离则勾选B项，按表格要求及实际情况填写后签字盖章。</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2、表格中“磋商文件的商务条款及要求”在填写时应注明该条款在磋商文件的页码及条款号。</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3、表格中“响应文件的商务条款及承诺”请供应商根据实际投标情况如实、完整、准确的填写。</w:t>
      </w:r>
    </w:p>
    <w:p>
      <w:pPr>
        <w:rPr>
          <w:rFonts w:ascii="Times New Roman" w:hAnsi="Times New Roman" w:eastAsia="宋体" w:cs="Times New Roman"/>
          <w:sz w:val="24"/>
        </w:rPr>
      </w:pPr>
      <w:r>
        <w:rPr>
          <w:rFonts w:ascii="Times New Roman" w:hAnsi="Times New Roman" w:eastAsia="宋体" w:cs="Times New Roman"/>
          <w:color w:val="000000"/>
          <w:sz w:val="24"/>
        </w:rPr>
        <w:t>4、</w:t>
      </w:r>
      <w:r>
        <w:rPr>
          <w:rFonts w:ascii="Times New Roman" w:hAnsi="Times New Roman" w:eastAsia="宋体" w:cs="Times New Roman"/>
          <w:b/>
          <w:color w:val="000000"/>
          <w:sz w:val="24"/>
        </w:rPr>
        <w:t>本表格中内容与投标文件其余部分不一致的，以本表格为准。</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5、填表示例：（有偏离情况的）</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A、</w:t>
      </w:r>
      <w:r>
        <w:rPr>
          <w:rFonts w:ascii="Times New Roman" w:hAnsi="Times New Roman" w:eastAsia="宋体" w:cs="Times New Roman"/>
          <w:color w:val="000000"/>
          <w:sz w:val="24"/>
        </w:rPr>
        <w:fldChar w:fldCharType="begin"/>
      </w:r>
      <w:r>
        <w:rPr>
          <w:rFonts w:ascii="Times New Roman" w:hAnsi="Times New Roman" w:eastAsia="宋体" w:cs="Times New Roman"/>
          <w:color w:val="000000"/>
          <w:sz w:val="24"/>
        </w:rPr>
        <w:instrText xml:space="preserve"> eq \o\ac(</w:instrText>
      </w:r>
      <w:r>
        <w:rPr>
          <w:rFonts w:ascii="Times New Roman" w:hAnsi="Times New Roman" w:eastAsia="宋体" w:cs="Times New Roman"/>
          <w:color w:val="000000"/>
          <w:position w:val="-4"/>
          <w:sz w:val="36"/>
        </w:rPr>
        <w:instrText xml:space="preserve">□</w:instrText>
      </w:r>
      <w:r>
        <w:rPr>
          <w:rFonts w:ascii="Times New Roman" w:hAnsi="Times New Roman" w:eastAsia="宋体" w:cs="Times New Roman"/>
          <w:color w:val="000000"/>
          <w:sz w:val="24"/>
        </w:rPr>
        <w:instrText xml:space="preserve">,×)</w:instrText>
      </w:r>
      <w:r>
        <w:rPr>
          <w:rFonts w:ascii="Times New Roman" w:hAnsi="Times New Roman" w:eastAsia="宋体" w:cs="Times New Roman"/>
          <w:color w:val="000000"/>
          <w:sz w:val="24"/>
        </w:rPr>
        <w:fldChar w:fldCharType="end"/>
      </w:r>
      <w:r>
        <w:rPr>
          <w:rFonts w:ascii="Times New Roman" w:hAnsi="Times New Roman" w:eastAsia="宋体" w:cs="Times New Roman"/>
          <w:color w:val="000000"/>
          <w:sz w:val="24"/>
        </w:rPr>
        <w:t>我公司已详细阅读招标文件中项商务要求，所有商务要求均无偏离，中标后我公司将严格遵照执行。</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sz w:val="24"/>
        </w:rPr>
        <w:t>B、</w:t>
      </w:r>
      <w:r>
        <w:rPr>
          <w:rFonts w:ascii="Times New Roman" w:hAnsi="Times New Roman" w:eastAsia="宋体" w:cs="Times New Roman"/>
          <w:color w:val="000000"/>
          <w:sz w:val="24"/>
        </w:rPr>
        <w:fldChar w:fldCharType="begin"/>
      </w:r>
      <w:r>
        <w:rPr>
          <w:rFonts w:ascii="Times New Roman" w:hAnsi="Times New Roman" w:eastAsia="宋体" w:cs="Times New Roman"/>
          <w:color w:val="000000"/>
          <w:sz w:val="24"/>
        </w:rPr>
        <w:instrText xml:space="preserve"> eq \o\ac(</w:instrText>
      </w:r>
      <w:r>
        <w:rPr>
          <w:rFonts w:ascii="Times New Roman" w:hAnsi="Times New Roman" w:eastAsia="宋体" w:cs="Times New Roman"/>
          <w:color w:val="000000"/>
          <w:position w:val="-4"/>
          <w:sz w:val="36"/>
        </w:rPr>
        <w:instrText xml:space="preserve">□</w:instrText>
      </w:r>
      <w:r>
        <w:rPr>
          <w:rFonts w:ascii="Times New Roman" w:hAnsi="Times New Roman" w:eastAsia="宋体" w:cs="Times New Roman"/>
          <w:color w:val="000000"/>
          <w:sz w:val="24"/>
        </w:rPr>
        <w:instrText xml:space="preserve">,√)</w:instrText>
      </w:r>
      <w:r>
        <w:rPr>
          <w:rFonts w:ascii="Times New Roman" w:hAnsi="Times New Roman" w:eastAsia="宋体" w:cs="Times New Roman"/>
          <w:color w:val="000000"/>
          <w:sz w:val="24"/>
        </w:rPr>
        <w:fldChar w:fldCharType="end"/>
      </w:r>
      <w:r>
        <w:rPr>
          <w:rFonts w:ascii="Times New Roman" w:hAnsi="Times New Roman" w:eastAsia="宋体" w:cs="Times New Roman"/>
          <w:color w:val="000000"/>
          <w:sz w:val="24"/>
        </w:rPr>
        <w:t>我公司已详细阅读招标文件中项商务要求，除下述条款有偏离外，其余条款我公司均予以认可，中标后将严格遵照执行。</w:t>
      </w:r>
    </w:p>
    <w:tbl>
      <w:tblPr>
        <w:tblStyle w:val="15"/>
        <w:tblW w:w="11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315"/>
        <w:gridCol w:w="5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5315"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磋商</w:t>
            </w:r>
            <w:r>
              <w:rPr>
                <w:rFonts w:ascii="Times New Roman" w:hAnsi="Times New Roman" w:eastAsia="宋体" w:cs="Times New Roman"/>
                <w:color w:val="000000"/>
                <w:szCs w:val="21"/>
              </w:rPr>
              <w:t>文件的商务条款要求</w:t>
            </w:r>
          </w:p>
        </w:tc>
        <w:tc>
          <w:tcPr>
            <w:tcW w:w="5264"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响应</w:t>
            </w:r>
            <w:r>
              <w:rPr>
                <w:rFonts w:ascii="Times New Roman" w:hAnsi="Times New Roman" w:eastAsia="宋体" w:cs="Times New Roman"/>
                <w:color w:val="000000"/>
                <w:szCs w:val="21"/>
              </w:rPr>
              <w:t>文件的商务条款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5315"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合同条款中付款方式：设备到货后，安装、调试、验收合格后一次性支付合同总价的95%，设备使用三个月后无质量问题，运行正常，支付5%余款。</w:t>
            </w:r>
          </w:p>
        </w:tc>
        <w:tc>
          <w:tcPr>
            <w:tcW w:w="5264"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付款方式：设备到货后，安装、调试、验收合格后一次性支付合同总价的97%，设备使用三个月后无质量问题，运行正常，支付3%余款。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5315"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合同条款中交货期：签订合同后30天内到货并完成验收；</w:t>
            </w:r>
          </w:p>
        </w:tc>
        <w:tc>
          <w:tcPr>
            <w:tcW w:w="5264"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交货期：签订合同后20天内到货并完成验收；</w:t>
            </w:r>
          </w:p>
        </w:tc>
      </w:tr>
    </w:tbl>
    <w:p>
      <w:pPr>
        <w:spacing w:line="240" w:lineRule="atLeast"/>
        <w:rPr>
          <w:rFonts w:ascii="宋体" w:hAnsi="宋体" w:eastAsia="宋体" w:cs="宋体"/>
          <w:sz w:val="24"/>
        </w:rPr>
      </w:pPr>
    </w:p>
    <w:p>
      <w:pPr>
        <w:widowControl w:val="0"/>
        <w:spacing w:line="360" w:lineRule="auto"/>
        <w:ind w:firstLine="480" w:firstLineChars="200"/>
        <w:jc w:val="both"/>
        <w:rPr>
          <w:rFonts w:ascii="宋体" w:hAnsi="宋体" w:eastAsia="宋体" w:cs="宋体"/>
          <w:kern w:val="2"/>
          <w:sz w:val="24"/>
          <w:szCs w:val="24"/>
          <w:lang w:val="en-US" w:eastAsia="zh-CN" w:bidi="ar-SA"/>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sectPr>
          <w:pgSz w:w="16838" w:h="11906" w:orient="landscape"/>
          <w:pgMar w:top="1417" w:right="1418" w:bottom="1134" w:left="1134" w:header="936" w:footer="720" w:gutter="0"/>
          <w:cols w:space="720" w:num="1"/>
          <w:docGrid w:linePitch="331" w:charSpace="0"/>
        </w:sectPr>
      </w:pPr>
    </w:p>
    <w:p>
      <w:pPr>
        <w:pStyle w:val="5"/>
        <w:bidi w:val="0"/>
        <w:jc w:val="center"/>
        <w:rPr>
          <w:rFonts w:hint="default" w:ascii="Times New Roman" w:hAnsi="Times New Roman" w:eastAsia="宋体" w:cs="Times New Roman"/>
          <w:lang w:val="en-US" w:eastAsia="zh-CN"/>
        </w:rPr>
      </w:pPr>
      <w:bookmarkStart w:id="199" w:name="_Toc12298"/>
      <w:r>
        <w:rPr>
          <w:rFonts w:hint="default" w:ascii="Times New Roman" w:hAnsi="Times New Roman" w:eastAsia="宋体" w:cs="Times New Roman"/>
          <w:lang w:val="en-US" w:eastAsia="zh-CN"/>
        </w:rPr>
        <w:t>4.</w:t>
      </w:r>
      <w:r>
        <w:rPr>
          <w:rFonts w:hint="eastAsia" w:ascii="Times New Roman" w:hAnsi="Times New Roman" w:eastAsia="宋体" w:cs="Times New Roman"/>
          <w:lang w:val="en-US" w:eastAsia="zh-CN"/>
        </w:rPr>
        <w:t>6</w:t>
      </w:r>
      <w:r>
        <w:rPr>
          <w:rFonts w:hint="default" w:ascii="Times New Roman" w:hAnsi="Times New Roman" w:eastAsia="宋体" w:cs="Times New Roman"/>
          <w:lang w:val="en-US" w:eastAsia="zh-CN"/>
        </w:rPr>
        <w:t xml:space="preserve"> </w:t>
      </w:r>
      <w:r>
        <w:rPr>
          <w:rFonts w:hint="eastAsia" w:ascii="Times New Roman" w:hAnsi="Times New Roman" w:eastAsia="宋体" w:cs="Times New Roman"/>
          <w:lang w:val="en-US" w:eastAsia="zh-CN"/>
        </w:rPr>
        <w:t>资格证明文件</w:t>
      </w:r>
      <w:bookmarkEnd w:id="199"/>
    </w:p>
    <w:bookmarkEnd w:id="196"/>
    <w:p>
      <w:pPr>
        <w:pStyle w:val="6"/>
        <w:bidi w:val="0"/>
        <w:rPr>
          <w:rFonts w:hint="eastAsia" w:ascii="宋体" w:hAnsi="宋体" w:eastAsia="宋体" w:cs="宋体"/>
          <w:b/>
          <w:bCs/>
          <w:szCs w:val="28"/>
        </w:rPr>
      </w:pPr>
      <w:bookmarkStart w:id="200" w:name="_Toc1524"/>
      <w:r>
        <w:rPr>
          <w:rFonts w:hint="default" w:ascii="Times New Roman" w:hAnsi="Times New Roman" w:eastAsia="宋体" w:cs="Times New Roman"/>
          <w:lang w:val="en-US" w:eastAsia="zh-CN"/>
        </w:rPr>
        <w:t>4.</w:t>
      </w:r>
      <w:r>
        <w:rPr>
          <w:rFonts w:hint="eastAsia" w:ascii="Times New Roman" w:hAnsi="Times New Roman" w:eastAsia="宋体" w:cs="Times New Roman"/>
          <w:lang w:val="en-US" w:eastAsia="zh-CN"/>
        </w:rPr>
        <w:t>6</w:t>
      </w:r>
      <w:r>
        <w:rPr>
          <w:rFonts w:hint="default" w:ascii="Times New Roman" w:hAnsi="Times New Roman" w:eastAsia="宋体" w:cs="Times New Roman"/>
          <w:lang w:val="en-US" w:eastAsia="zh-CN"/>
        </w:rPr>
        <w:t xml:space="preserve">.1 </w:t>
      </w:r>
      <w:r>
        <w:rPr>
          <w:rFonts w:hint="default" w:ascii="Times New Roman" w:hAnsi="Times New Roman" w:eastAsia="宋体" w:cs="Times New Roman"/>
        </w:rPr>
        <w:t>营业执照</w:t>
      </w:r>
      <w:bookmarkEnd w:id="200"/>
    </w:p>
    <w:p>
      <w:pPr>
        <w:spacing w:line="360" w:lineRule="auto"/>
        <w:jc w:val="center"/>
        <w:rPr>
          <w:rFonts w:hint="eastAsia" w:ascii="宋体" w:hAnsi="宋体" w:eastAsia="宋体" w:cs="宋体"/>
          <w:sz w:val="24"/>
        </w:rPr>
      </w:pPr>
      <w:r>
        <w:rPr>
          <w:rFonts w:hint="eastAsia" w:ascii="宋体" w:hAnsi="宋体" w:eastAsia="宋体" w:cs="宋体"/>
          <w:b/>
          <w:bCs/>
          <w:sz w:val="28"/>
          <w:szCs w:val="28"/>
        </w:rPr>
        <w:t>（一）营业执照</w:t>
      </w:r>
    </w:p>
    <w:p>
      <w:pPr>
        <w:spacing w:line="360" w:lineRule="auto"/>
        <w:ind w:firstLine="990" w:firstLineChars="450"/>
        <w:rPr>
          <w:rFonts w:hint="eastAsia" w:ascii="宋体" w:hAnsi="宋体" w:eastAsia="宋体" w:cs="宋体"/>
          <w:sz w:val="24"/>
        </w:rPr>
      </w:pPr>
      <w:r>
        <w:rPr>
          <w:rFonts w:hint="eastAsia" w:ascii="宋体" w:hAnsi="宋体" w:eastAsia="宋体" w:cs="宋体"/>
          <w:sz w:val="22"/>
        </w:rPr>
        <w:t>供应商</w:t>
      </w:r>
      <w:r>
        <w:rPr>
          <w:rFonts w:hint="eastAsia" w:ascii="宋体" w:hAnsi="宋体" w:eastAsia="宋体" w:cs="宋体"/>
          <w:sz w:val="24"/>
        </w:rPr>
        <w:t>有效的营业执照副本内页：要求清晰反映企业法人经营范围。</w:t>
      </w:r>
    </w:p>
    <w:p>
      <w:pPr>
        <w:widowControl w:val="0"/>
        <w:spacing w:line="360" w:lineRule="auto"/>
        <w:ind w:left="420"/>
        <w:jc w:val="center"/>
        <w:rPr>
          <w:rFonts w:hint="eastAsia" w:ascii="宋体" w:hAnsi="宋体" w:eastAsia="宋体" w:cs="宋体"/>
          <w:kern w:val="2"/>
          <w:sz w:val="24"/>
          <w:szCs w:val="24"/>
          <w:lang w:val="en-US" w:eastAsia="zh-CN" w:bidi="ar-SA"/>
        </w:rPr>
      </w:pPr>
    </w:p>
    <w:p>
      <w:pPr>
        <w:widowControl w:val="0"/>
        <w:spacing w:line="360" w:lineRule="auto"/>
        <w:ind w:left="420"/>
        <w:jc w:val="center"/>
        <w:rPr>
          <w:rFonts w:hint="eastAsia" w:ascii="宋体" w:hAnsi="宋体" w:eastAsia="宋体" w:cs="宋体"/>
          <w:kern w:val="2"/>
          <w:sz w:val="24"/>
          <w:szCs w:val="24"/>
          <w:lang w:val="en-US" w:eastAsia="zh-CN" w:bidi="ar-SA"/>
        </w:rPr>
      </w:pPr>
    </w:p>
    <w:p>
      <w:pPr>
        <w:widowControl w:val="0"/>
        <w:spacing w:line="360" w:lineRule="auto"/>
        <w:ind w:left="420"/>
        <w:jc w:val="center"/>
        <w:rPr>
          <w:rFonts w:hint="eastAsia" w:ascii="宋体" w:hAnsi="宋体" w:eastAsia="宋体" w:cs="宋体"/>
          <w:kern w:val="2"/>
          <w:sz w:val="24"/>
          <w:szCs w:val="24"/>
          <w:lang w:val="en-US" w:eastAsia="zh-CN" w:bidi="ar-SA"/>
        </w:rPr>
      </w:pPr>
    </w:p>
    <w:p>
      <w:pPr>
        <w:widowControl w:val="0"/>
        <w:spacing w:line="360" w:lineRule="auto"/>
        <w:ind w:left="420"/>
        <w:jc w:val="center"/>
        <w:rPr>
          <w:rFonts w:hint="eastAsia" w:ascii="宋体" w:hAnsi="宋体" w:eastAsia="宋体" w:cs="宋体"/>
          <w:kern w:val="2"/>
          <w:sz w:val="24"/>
          <w:szCs w:val="24"/>
          <w:lang w:val="en-US" w:eastAsia="zh-CN" w:bidi="ar-SA"/>
        </w:rPr>
      </w:pPr>
    </w:p>
    <w:p>
      <w:pPr>
        <w:widowControl w:val="0"/>
        <w:spacing w:line="360" w:lineRule="auto"/>
        <w:jc w:val="both"/>
        <w:rPr>
          <w:rFonts w:hint="eastAsia" w:ascii="宋体" w:hAnsi="宋体" w:eastAsia="宋体" w:cs="宋体"/>
          <w:kern w:val="2"/>
          <w:sz w:val="21"/>
          <w:szCs w:val="20"/>
          <w:lang w:val="en-US" w:eastAsia="zh-CN" w:bidi="ar-SA"/>
        </w:rPr>
      </w:pPr>
    </w:p>
    <w:p>
      <w:pPr>
        <w:widowControl w:val="0"/>
        <w:tabs>
          <w:tab w:val="left" w:pos="360"/>
          <w:tab w:val="left" w:pos="900"/>
          <w:tab w:val="left" w:pos="1588"/>
        </w:tabs>
        <w:adjustRightInd w:val="0"/>
        <w:spacing w:before="120" w:line="360" w:lineRule="auto"/>
        <w:ind w:left="1588" w:hanging="737"/>
        <w:jc w:val="both"/>
        <w:textAlignment w:val="baseline"/>
        <w:outlineLvl w:val="2"/>
        <w:rPr>
          <w:rFonts w:hint="eastAsia" w:ascii="宋体" w:hAnsi="宋体" w:eastAsia="宋体" w:cs="宋体"/>
          <w:b/>
          <w:bCs/>
          <w:kern w:val="0"/>
          <w:sz w:val="24"/>
          <w:szCs w:val="24"/>
          <w:lang w:val="en-US" w:eastAsia="zh-CN" w:bidi="ar-SA"/>
        </w:rPr>
      </w:pPr>
      <w:bookmarkStart w:id="201" w:name="_Toc2435_WPSOffice_Level3"/>
    </w:p>
    <w:p>
      <w:pPr>
        <w:widowControl w:val="0"/>
        <w:tabs>
          <w:tab w:val="left" w:pos="360"/>
          <w:tab w:val="left" w:pos="900"/>
          <w:tab w:val="left" w:pos="1588"/>
        </w:tabs>
        <w:adjustRightInd w:val="0"/>
        <w:spacing w:before="120" w:line="360" w:lineRule="auto"/>
        <w:ind w:left="1588" w:hanging="737"/>
        <w:jc w:val="both"/>
        <w:textAlignment w:val="baseline"/>
        <w:outlineLvl w:val="2"/>
        <w:rPr>
          <w:rFonts w:hint="eastAsia" w:ascii="宋体" w:hAnsi="宋体" w:eastAsia="宋体" w:cs="宋体"/>
          <w:b/>
          <w:bCs/>
          <w:kern w:val="0"/>
          <w:sz w:val="24"/>
          <w:szCs w:val="24"/>
          <w:lang w:val="en-US" w:eastAsia="zh-CN" w:bidi="ar-SA"/>
        </w:rPr>
      </w:pPr>
    </w:p>
    <w:p>
      <w:pPr>
        <w:widowControl w:val="0"/>
        <w:tabs>
          <w:tab w:val="left" w:pos="360"/>
          <w:tab w:val="left" w:pos="900"/>
          <w:tab w:val="left" w:pos="1588"/>
        </w:tabs>
        <w:adjustRightInd w:val="0"/>
        <w:spacing w:before="120" w:line="360" w:lineRule="auto"/>
        <w:ind w:left="1588" w:hanging="737"/>
        <w:jc w:val="both"/>
        <w:textAlignment w:val="baseline"/>
        <w:outlineLvl w:val="2"/>
        <w:rPr>
          <w:rFonts w:hint="eastAsia" w:ascii="宋体" w:hAnsi="宋体" w:eastAsia="宋体" w:cs="宋体"/>
          <w:b/>
          <w:bCs/>
          <w:kern w:val="0"/>
          <w:sz w:val="24"/>
          <w:szCs w:val="24"/>
          <w:lang w:val="en-US" w:eastAsia="zh-CN" w:bidi="ar-SA"/>
        </w:rPr>
      </w:pPr>
    </w:p>
    <w:p>
      <w:pPr>
        <w:widowControl w:val="0"/>
        <w:tabs>
          <w:tab w:val="left" w:pos="360"/>
          <w:tab w:val="left" w:pos="900"/>
          <w:tab w:val="left" w:pos="1588"/>
        </w:tabs>
        <w:adjustRightInd w:val="0"/>
        <w:spacing w:before="120" w:line="360" w:lineRule="auto"/>
        <w:ind w:left="1588" w:hanging="737"/>
        <w:jc w:val="both"/>
        <w:textAlignment w:val="baseline"/>
        <w:outlineLvl w:val="2"/>
        <w:rPr>
          <w:rFonts w:hint="eastAsia" w:ascii="宋体" w:hAnsi="宋体" w:eastAsia="宋体" w:cs="宋体"/>
          <w:b/>
          <w:bCs/>
          <w:kern w:val="0"/>
          <w:sz w:val="24"/>
          <w:szCs w:val="24"/>
          <w:lang w:val="en-US" w:eastAsia="zh-CN" w:bidi="ar-SA"/>
        </w:rPr>
      </w:pPr>
    </w:p>
    <w:p>
      <w:pPr>
        <w:widowControl w:val="0"/>
        <w:tabs>
          <w:tab w:val="left" w:pos="360"/>
          <w:tab w:val="left" w:pos="900"/>
          <w:tab w:val="left" w:pos="1588"/>
        </w:tabs>
        <w:adjustRightInd w:val="0"/>
        <w:spacing w:before="120" w:line="360" w:lineRule="auto"/>
        <w:ind w:left="1588" w:hanging="737"/>
        <w:jc w:val="both"/>
        <w:textAlignment w:val="baseline"/>
        <w:outlineLvl w:val="2"/>
        <w:rPr>
          <w:rFonts w:hint="eastAsia" w:ascii="宋体" w:hAnsi="宋体" w:eastAsia="宋体" w:cs="宋体"/>
          <w:b/>
          <w:bCs/>
          <w:kern w:val="0"/>
          <w:sz w:val="24"/>
          <w:szCs w:val="24"/>
          <w:lang w:val="en-US" w:eastAsia="zh-CN" w:bidi="ar-SA"/>
        </w:rPr>
      </w:pPr>
    </w:p>
    <w:p>
      <w:pPr>
        <w:widowControl w:val="0"/>
        <w:tabs>
          <w:tab w:val="left" w:pos="360"/>
          <w:tab w:val="left" w:pos="900"/>
          <w:tab w:val="left" w:pos="1588"/>
        </w:tabs>
        <w:adjustRightInd w:val="0"/>
        <w:spacing w:before="120" w:line="360" w:lineRule="auto"/>
        <w:ind w:left="1588" w:hanging="737"/>
        <w:jc w:val="both"/>
        <w:textAlignment w:val="baseline"/>
        <w:outlineLvl w:val="2"/>
        <w:rPr>
          <w:rFonts w:hint="eastAsia" w:ascii="宋体" w:hAnsi="宋体" w:eastAsia="宋体" w:cs="宋体"/>
          <w:b/>
          <w:bCs/>
          <w:kern w:val="0"/>
          <w:sz w:val="24"/>
          <w:szCs w:val="24"/>
          <w:lang w:val="en-US" w:eastAsia="zh-CN" w:bidi="ar-SA"/>
        </w:rPr>
      </w:pPr>
    </w:p>
    <w:p>
      <w:pPr>
        <w:widowControl w:val="0"/>
        <w:tabs>
          <w:tab w:val="left" w:pos="360"/>
          <w:tab w:val="left" w:pos="900"/>
          <w:tab w:val="left" w:pos="1588"/>
        </w:tabs>
        <w:adjustRightInd w:val="0"/>
        <w:spacing w:before="120" w:line="360" w:lineRule="auto"/>
        <w:ind w:left="1588" w:hanging="737"/>
        <w:jc w:val="both"/>
        <w:textAlignment w:val="baseline"/>
        <w:outlineLvl w:val="2"/>
        <w:rPr>
          <w:rFonts w:hint="eastAsia" w:ascii="宋体" w:hAnsi="宋体" w:eastAsia="宋体" w:cs="宋体"/>
          <w:b/>
          <w:bCs/>
          <w:kern w:val="0"/>
          <w:sz w:val="24"/>
          <w:szCs w:val="24"/>
          <w:lang w:val="en-US" w:eastAsia="zh-CN" w:bidi="ar-SA"/>
        </w:rPr>
      </w:pPr>
    </w:p>
    <w:p>
      <w:pPr>
        <w:widowControl w:val="0"/>
        <w:tabs>
          <w:tab w:val="left" w:pos="360"/>
          <w:tab w:val="left" w:pos="900"/>
          <w:tab w:val="left" w:pos="1588"/>
        </w:tabs>
        <w:adjustRightInd w:val="0"/>
        <w:spacing w:before="120" w:line="360" w:lineRule="auto"/>
        <w:ind w:left="1588" w:hanging="737"/>
        <w:jc w:val="both"/>
        <w:textAlignment w:val="baseline"/>
        <w:outlineLvl w:val="2"/>
        <w:rPr>
          <w:rFonts w:hint="eastAsia" w:ascii="宋体" w:hAnsi="宋体" w:eastAsia="宋体" w:cs="宋体"/>
          <w:b/>
          <w:bCs/>
          <w:kern w:val="0"/>
          <w:sz w:val="24"/>
          <w:szCs w:val="24"/>
          <w:lang w:val="en-US" w:eastAsia="zh-CN" w:bidi="ar-SA"/>
        </w:rPr>
      </w:pPr>
    </w:p>
    <w:p>
      <w:pPr>
        <w:widowControl w:val="0"/>
        <w:tabs>
          <w:tab w:val="left" w:pos="360"/>
          <w:tab w:val="left" w:pos="900"/>
          <w:tab w:val="left" w:pos="1588"/>
        </w:tabs>
        <w:adjustRightInd w:val="0"/>
        <w:spacing w:before="120" w:line="360" w:lineRule="auto"/>
        <w:ind w:left="1588" w:hanging="737"/>
        <w:jc w:val="both"/>
        <w:textAlignment w:val="baseline"/>
        <w:outlineLvl w:val="2"/>
        <w:rPr>
          <w:rFonts w:hint="eastAsia" w:ascii="宋体" w:hAnsi="宋体" w:eastAsia="宋体" w:cs="宋体"/>
          <w:b/>
          <w:bCs/>
          <w:kern w:val="0"/>
          <w:sz w:val="24"/>
          <w:szCs w:val="24"/>
          <w:lang w:val="en-US" w:eastAsia="zh-CN" w:bidi="ar-SA"/>
        </w:rPr>
      </w:pPr>
    </w:p>
    <w:p>
      <w:pPr>
        <w:widowControl w:val="0"/>
        <w:tabs>
          <w:tab w:val="left" w:pos="360"/>
          <w:tab w:val="left" w:pos="900"/>
          <w:tab w:val="left" w:pos="1588"/>
        </w:tabs>
        <w:adjustRightInd w:val="0"/>
        <w:spacing w:before="120" w:line="360" w:lineRule="auto"/>
        <w:ind w:left="1588" w:hanging="737"/>
        <w:jc w:val="both"/>
        <w:textAlignment w:val="baseline"/>
        <w:outlineLvl w:val="2"/>
        <w:rPr>
          <w:rFonts w:hint="eastAsia" w:ascii="宋体" w:hAnsi="宋体" w:eastAsia="宋体" w:cs="宋体"/>
          <w:b/>
          <w:bCs/>
          <w:kern w:val="0"/>
          <w:sz w:val="24"/>
          <w:szCs w:val="24"/>
          <w:lang w:val="en-US" w:eastAsia="zh-CN" w:bidi="ar-SA"/>
        </w:rPr>
      </w:pPr>
    </w:p>
    <w:p>
      <w:pPr>
        <w:widowControl w:val="0"/>
        <w:tabs>
          <w:tab w:val="left" w:pos="360"/>
          <w:tab w:val="left" w:pos="900"/>
          <w:tab w:val="left" w:pos="1588"/>
        </w:tabs>
        <w:adjustRightInd w:val="0"/>
        <w:spacing w:before="120" w:line="360" w:lineRule="auto"/>
        <w:ind w:left="1588" w:hanging="737"/>
        <w:jc w:val="both"/>
        <w:textAlignment w:val="baseline"/>
        <w:outlineLvl w:val="2"/>
        <w:rPr>
          <w:rFonts w:hint="eastAsia" w:ascii="宋体" w:hAnsi="宋体" w:eastAsia="宋体" w:cs="宋体"/>
          <w:b/>
          <w:bCs/>
          <w:kern w:val="0"/>
          <w:sz w:val="24"/>
          <w:szCs w:val="24"/>
          <w:lang w:val="en-US" w:eastAsia="zh-CN" w:bidi="ar-SA"/>
        </w:rPr>
      </w:pPr>
    </w:p>
    <w:p>
      <w:pPr>
        <w:widowControl w:val="0"/>
        <w:tabs>
          <w:tab w:val="left" w:pos="360"/>
          <w:tab w:val="left" w:pos="900"/>
          <w:tab w:val="left" w:pos="1588"/>
        </w:tabs>
        <w:adjustRightInd w:val="0"/>
        <w:spacing w:before="120" w:line="360" w:lineRule="auto"/>
        <w:jc w:val="both"/>
        <w:textAlignment w:val="baseline"/>
        <w:outlineLvl w:val="2"/>
        <w:rPr>
          <w:rFonts w:hint="eastAsia" w:ascii="宋体" w:hAnsi="宋体" w:eastAsia="宋体" w:cs="宋体"/>
          <w:b/>
          <w:bCs/>
          <w:kern w:val="0"/>
          <w:sz w:val="24"/>
          <w:szCs w:val="24"/>
          <w:lang w:val="en-US" w:eastAsia="zh-CN" w:bidi="ar-SA"/>
        </w:rPr>
        <w:sectPr>
          <w:pgSz w:w="11906" w:h="16838"/>
          <w:pgMar w:top="1440" w:right="1588" w:bottom="1440" w:left="1588" w:header="851" w:footer="992" w:gutter="0"/>
          <w:cols w:space="720" w:num="1"/>
          <w:docGrid w:type="lines" w:linePitch="312" w:charSpace="0"/>
        </w:sectPr>
      </w:pPr>
    </w:p>
    <w:p>
      <w:pPr>
        <w:widowControl w:val="0"/>
        <w:tabs>
          <w:tab w:val="left" w:pos="360"/>
          <w:tab w:val="left" w:pos="900"/>
          <w:tab w:val="left" w:pos="1588"/>
        </w:tabs>
        <w:adjustRightInd w:val="0"/>
        <w:spacing w:before="120" w:line="360" w:lineRule="auto"/>
        <w:jc w:val="both"/>
        <w:textAlignment w:val="baseline"/>
        <w:outlineLvl w:val="2"/>
        <w:rPr>
          <w:rFonts w:hint="eastAsia" w:ascii="宋体" w:hAnsi="宋体" w:eastAsia="宋体" w:cs="宋体"/>
          <w:b/>
          <w:bCs/>
          <w:kern w:val="0"/>
          <w:sz w:val="24"/>
          <w:szCs w:val="24"/>
          <w:lang w:val="en-US" w:eastAsia="zh-CN" w:bidi="ar-SA"/>
        </w:rPr>
      </w:pPr>
    </w:p>
    <w:p>
      <w:pPr>
        <w:pStyle w:val="6"/>
        <w:bidi w:val="0"/>
        <w:rPr>
          <w:rFonts w:hint="default" w:ascii="Times New Roman" w:hAnsi="Times New Roman" w:eastAsia="宋体" w:cs="Times New Roman"/>
          <w:szCs w:val="24"/>
          <w:lang w:val="en-US" w:eastAsia="zh-CN"/>
        </w:rPr>
      </w:pPr>
      <w:bookmarkStart w:id="202" w:name="_Toc8075"/>
      <w:r>
        <w:rPr>
          <w:rFonts w:hint="default" w:ascii="Times New Roman" w:hAnsi="Times New Roman" w:eastAsia="宋体" w:cs="Times New Roman"/>
          <w:lang w:val="en-US" w:eastAsia="zh-CN"/>
        </w:rPr>
        <w:t>4.</w:t>
      </w:r>
      <w:r>
        <w:rPr>
          <w:rFonts w:hint="eastAsia" w:ascii="Times New Roman" w:hAnsi="Times New Roman" w:eastAsia="宋体" w:cs="Times New Roman"/>
          <w:lang w:val="en-US" w:eastAsia="zh-CN"/>
        </w:rPr>
        <w:t>6</w:t>
      </w:r>
      <w:r>
        <w:rPr>
          <w:rFonts w:hint="default" w:ascii="Times New Roman" w:hAnsi="Times New Roman" w:eastAsia="宋体" w:cs="Times New Roman"/>
          <w:lang w:val="en-US" w:eastAsia="zh-CN"/>
        </w:rPr>
        <w:t>.2 法定代表人资格证明书</w:t>
      </w:r>
      <w:bookmarkEnd w:id="201"/>
      <w:bookmarkEnd w:id="202"/>
    </w:p>
    <w:p>
      <w:pPr>
        <w:spacing w:line="360" w:lineRule="auto"/>
        <w:jc w:val="center"/>
        <w:rPr>
          <w:rFonts w:hint="eastAsia" w:ascii="宋体" w:hAnsi="宋体" w:eastAsia="宋体" w:cs="宋体"/>
          <w:b/>
          <w:bCs/>
          <w:sz w:val="28"/>
          <w:szCs w:val="28"/>
        </w:r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法定代表人资格证明书</w:t>
      </w:r>
    </w:p>
    <w:p>
      <w:pPr>
        <w:spacing w:line="360" w:lineRule="auto"/>
        <w:jc w:val="center"/>
        <w:rPr>
          <w:rFonts w:hint="eastAsia" w:ascii="宋体" w:hAnsi="宋体" w:eastAsia="宋体" w:cs="宋体"/>
          <w:b/>
          <w:sz w:val="30"/>
          <w:szCs w:val="30"/>
        </w:rPr>
      </w:pPr>
    </w:p>
    <w:p>
      <w:pPr>
        <w:spacing w:line="360" w:lineRule="auto"/>
        <w:rPr>
          <w:rFonts w:hint="eastAsia" w:ascii="宋体" w:hAnsi="宋体" w:eastAsia="宋体" w:cs="宋体"/>
          <w:szCs w:val="21"/>
          <w:u w:val="single"/>
        </w:rPr>
      </w:pPr>
      <w:r>
        <w:rPr>
          <w:rFonts w:hint="eastAsia" w:ascii="宋体" w:hAnsi="宋体" w:eastAsia="宋体" w:cs="宋体"/>
          <w:szCs w:val="21"/>
        </w:rPr>
        <w:t>供应商全称：</w:t>
      </w:r>
    </w:p>
    <w:p>
      <w:pPr>
        <w:spacing w:line="360" w:lineRule="auto"/>
        <w:rPr>
          <w:rFonts w:hint="eastAsia" w:ascii="宋体" w:hAnsi="宋体" w:eastAsia="宋体" w:cs="宋体"/>
          <w:szCs w:val="21"/>
          <w:u w:val="single"/>
        </w:rPr>
      </w:pPr>
      <w:r>
        <w:rPr>
          <w:rFonts w:hint="eastAsia" w:ascii="宋体" w:hAnsi="宋体" w:eastAsia="宋体" w:cs="宋体"/>
          <w:szCs w:val="21"/>
        </w:rPr>
        <w:t>单位性质：</w:t>
      </w:r>
    </w:p>
    <w:p>
      <w:pPr>
        <w:spacing w:line="360" w:lineRule="auto"/>
        <w:rPr>
          <w:rFonts w:hint="eastAsia" w:ascii="宋体" w:hAnsi="宋体" w:eastAsia="宋体" w:cs="宋体"/>
          <w:szCs w:val="21"/>
        </w:rPr>
      </w:pPr>
      <w:r>
        <w:rPr>
          <w:rFonts w:hint="eastAsia" w:ascii="宋体" w:hAnsi="宋体" w:eastAsia="宋体" w:cs="宋体"/>
          <w:szCs w:val="21"/>
        </w:rPr>
        <w:t>成立时间：年月日</w:t>
      </w:r>
    </w:p>
    <w:p>
      <w:pPr>
        <w:spacing w:line="360" w:lineRule="auto"/>
        <w:rPr>
          <w:rFonts w:hint="eastAsia" w:ascii="宋体" w:hAnsi="宋体" w:eastAsia="宋体" w:cs="宋体"/>
          <w:szCs w:val="21"/>
          <w:u w:val="single"/>
        </w:rPr>
      </w:pPr>
      <w:r>
        <w:rPr>
          <w:rFonts w:hint="eastAsia" w:ascii="宋体" w:hAnsi="宋体" w:eastAsia="宋体" w:cs="宋体"/>
          <w:szCs w:val="21"/>
        </w:rPr>
        <w:t>经营期限：</w:t>
      </w:r>
    </w:p>
    <w:p>
      <w:pPr>
        <w:spacing w:line="360" w:lineRule="auto"/>
        <w:rPr>
          <w:rFonts w:hint="eastAsia" w:ascii="宋体" w:hAnsi="宋体" w:eastAsia="宋体" w:cs="宋体"/>
          <w:szCs w:val="21"/>
          <w:u w:val="single"/>
        </w:rPr>
      </w:pPr>
      <w:r>
        <w:rPr>
          <w:rFonts w:hint="eastAsia" w:ascii="宋体" w:hAnsi="宋体" w:eastAsia="宋体" w:cs="宋体"/>
          <w:szCs w:val="21"/>
        </w:rPr>
        <w:t>姓名：性别：年龄：职务：</w:t>
      </w:r>
    </w:p>
    <w:p>
      <w:pPr>
        <w:spacing w:line="360" w:lineRule="auto"/>
        <w:rPr>
          <w:rFonts w:hint="eastAsia" w:ascii="宋体" w:hAnsi="宋体" w:eastAsia="宋体" w:cs="宋体"/>
          <w:szCs w:val="21"/>
        </w:rPr>
      </w:pPr>
      <w:r>
        <w:rPr>
          <w:rFonts w:hint="eastAsia" w:ascii="宋体" w:hAnsi="宋体" w:eastAsia="宋体" w:cs="宋体"/>
          <w:szCs w:val="21"/>
        </w:rPr>
        <w:t>系</w:t>
      </w:r>
      <w:r>
        <w:rPr>
          <w:rFonts w:hint="eastAsia" w:ascii="宋体" w:hAnsi="宋体" w:eastAsia="宋体" w:cs="宋体"/>
          <w:szCs w:val="21"/>
          <w:u w:val="single"/>
        </w:rPr>
        <w:t>（供应商全称）</w:t>
      </w:r>
      <w:r>
        <w:rPr>
          <w:rFonts w:hint="eastAsia" w:ascii="宋体" w:hAnsi="宋体" w:eastAsia="宋体" w:cs="宋体"/>
          <w:szCs w:val="21"/>
        </w:rPr>
        <w:t>的法定代表人。</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特此证明。</w:t>
      </w:r>
    </w:p>
    <w:tbl>
      <w:tblPr>
        <w:tblStyle w:val="15"/>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526" w:hRule="atLeast"/>
        </w:trPr>
        <w:tc>
          <w:tcPr>
            <w:tcW w:w="8528" w:type="dxa"/>
            <w:noWrap/>
            <w:vAlign w:val="center"/>
          </w:tcPr>
          <w:p>
            <w:pPr>
              <w:adjustRightInd w:val="0"/>
              <w:snapToGrid w:val="0"/>
              <w:spacing w:before="156" w:beforeLines="50" w:line="360" w:lineRule="auto"/>
              <w:jc w:val="center"/>
              <w:rPr>
                <w:rFonts w:hint="eastAsia" w:ascii="宋体" w:hAnsi="宋体" w:eastAsia="宋体" w:cs="宋体"/>
                <w:szCs w:val="21"/>
              </w:rPr>
            </w:pPr>
            <w:r>
              <w:rPr>
                <w:rFonts w:hint="eastAsia" w:ascii="宋体" w:hAnsi="宋体" w:eastAsia="宋体" w:cs="宋体"/>
                <w:szCs w:val="21"/>
              </w:rPr>
              <w:t>法定代表人身份证复印件</w:t>
            </w:r>
          </w:p>
        </w:tc>
      </w:tr>
    </w:tbl>
    <w:p>
      <w:pPr>
        <w:spacing w:line="360" w:lineRule="auto"/>
        <w:rPr>
          <w:rFonts w:hint="eastAsia" w:ascii="宋体" w:hAnsi="宋体" w:eastAsia="宋体" w:cs="宋体"/>
          <w:szCs w:val="21"/>
        </w:rPr>
      </w:pPr>
      <w:r>
        <w:rPr>
          <w:rFonts w:hint="eastAsia" w:ascii="宋体" w:hAnsi="宋体" w:eastAsia="宋体" w:cs="宋体"/>
          <w:szCs w:val="21"/>
        </w:rPr>
        <w:t>法定代表人身份证复印件（正、反面）</w:t>
      </w:r>
    </w:p>
    <w:p>
      <w:pPr>
        <w:spacing w:line="360" w:lineRule="auto"/>
        <w:rPr>
          <w:rFonts w:hint="eastAsia" w:ascii="宋体" w:hAnsi="宋体" w:eastAsia="宋体" w:cs="宋体"/>
          <w:szCs w:val="21"/>
        </w:rPr>
      </w:pPr>
    </w:p>
    <w:p>
      <w:pPr>
        <w:spacing w:line="360" w:lineRule="auto"/>
        <w:ind w:left="3780" w:leftChars="1800"/>
        <w:rPr>
          <w:rFonts w:hint="eastAsia" w:ascii="宋体" w:hAnsi="宋体" w:eastAsia="宋体" w:cs="宋体"/>
          <w:szCs w:val="21"/>
        </w:rPr>
      </w:pPr>
      <w:r>
        <w:rPr>
          <w:rFonts w:hint="eastAsia" w:ascii="宋体" w:hAnsi="宋体" w:eastAsia="宋体" w:cs="宋体"/>
          <w:szCs w:val="21"/>
        </w:rPr>
        <w:t>供应商：（盖单位公章）</w:t>
      </w:r>
    </w:p>
    <w:p>
      <w:pPr>
        <w:spacing w:line="360" w:lineRule="auto"/>
        <w:ind w:left="3780" w:leftChars="1800"/>
        <w:rPr>
          <w:rFonts w:hint="eastAsia" w:ascii="宋体" w:hAnsi="宋体" w:eastAsia="宋体" w:cs="宋体"/>
          <w:szCs w:val="21"/>
        </w:rPr>
      </w:pPr>
    </w:p>
    <w:p>
      <w:pPr>
        <w:spacing w:line="360" w:lineRule="auto"/>
        <w:ind w:left="3780" w:leftChars="1800" w:firstLine="1155" w:firstLineChars="550"/>
        <w:rPr>
          <w:rFonts w:hint="eastAsia" w:ascii="宋体" w:hAnsi="宋体" w:eastAsia="宋体" w:cs="宋体"/>
          <w:szCs w:val="21"/>
        </w:rPr>
      </w:pPr>
      <w:r>
        <w:rPr>
          <w:rFonts w:hint="eastAsia" w:ascii="宋体" w:hAnsi="宋体" w:eastAsia="宋体" w:cs="宋体"/>
          <w:szCs w:val="21"/>
        </w:rPr>
        <w:t>年   月    日</w:t>
      </w:r>
    </w:p>
    <w:p>
      <w:pPr>
        <w:spacing w:line="360" w:lineRule="auto"/>
        <w:rPr>
          <w:rFonts w:hint="eastAsia" w:ascii="宋体" w:hAnsi="宋体" w:eastAsia="宋体" w:cs="宋体"/>
          <w:szCs w:val="21"/>
        </w:rPr>
      </w:pPr>
    </w:p>
    <w:p>
      <w:pPr>
        <w:widowControl w:val="0"/>
        <w:tabs>
          <w:tab w:val="left" w:pos="360"/>
          <w:tab w:val="left" w:pos="900"/>
          <w:tab w:val="left" w:pos="1588"/>
        </w:tabs>
        <w:adjustRightInd w:val="0"/>
        <w:spacing w:before="0" w:line="360" w:lineRule="auto"/>
        <w:ind w:left="210" w:leftChars="100" w:firstLine="0"/>
        <w:jc w:val="both"/>
        <w:textAlignment w:val="baseline"/>
        <w:outlineLvl w:val="2"/>
        <w:rPr>
          <w:rFonts w:hint="default" w:ascii="Times New Roman" w:hAnsi="Times New Roman" w:eastAsia="宋体" w:cs="Times New Roman"/>
          <w:sz w:val="24"/>
          <w:szCs w:val="24"/>
          <w:lang w:val="en-US" w:eastAsia="zh-CN"/>
        </w:rPr>
      </w:pPr>
      <w:r>
        <w:rPr>
          <w:rFonts w:hint="eastAsia" w:ascii="宋体" w:hAnsi="宋体" w:eastAsia="宋体" w:cs="宋体"/>
          <w:b w:val="0"/>
          <w:bCs/>
          <w:kern w:val="0"/>
          <w:sz w:val="32"/>
          <w:szCs w:val="21"/>
          <w:lang w:val="en-US" w:eastAsia="zh-CN" w:bidi="ar-SA"/>
        </w:rPr>
        <w:br w:type="page"/>
      </w:r>
    </w:p>
    <w:p>
      <w:pPr>
        <w:pStyle w:val="6"/>
        <w:bidi w:val="0"/>
        <w:rPr>
          <w:rFonts w:hint="default" w:ascii="Times New Roman" w:hAnsi="Times New Roman" w:eastAsia="宋体" w:cs="Times New Roman"/>
          <w:b w:val="0"/>
          <w:bCs w:val="0"/>
          <w:szCs w:val="24"/>
          <w:lang w:val="en-US" w:eastAsia="zh-CN"/>
        </w:rPr>
      </w:pPr>
      <w:bookmarkStart w:id="203" w:name="_Toc22709"/>
      <w:r>
        <w:rPr>
          <w:rFonts w:hint="default" w:ascii="Times New Roman" w:hAnsi="Times New Roman" w:eastAsia="宋体" w:cs="Times New Roman"/>
          <w:lang w:val="en-US" w:eastAsia="zh-CN"/>
        </w:rPr>
        <w:t>4.6.3 法定</w:t>
      </w:r>
      <w:r>
        <w:rPr>
          <w:rFonts w:hint="eastAsia" w:ascii="宋体" w:hAnsi="宋体" w:eastAsia="宋体" w:cs="宋体"/>
          <w:lang w:val="en-US" w:eastAsia="zh-CN"/>
        </w:rPr>
        <w:t>代表人授权委托书</w:t>
      </w:r>
      <w:bookmarkEnd w:id="203"/>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法定代表人授权委托书</w:t>
      </w:r>
    </w:p>
    <w:p>
      <w:pPr>
        <w:autoSpaceDE w:val="0"/>
        <w:autoSpaceDN w:val="0"/>
        <w:adjustRightInd w:val="0"/>
        <w:snapToGrid w:val="0"/>
        <w:spacing w:before="156" w:beforeLines="50"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本人</w:t>
      </w:r>
      <w:r>
        <w:rPr>
          <w:rFonts w:hint="eastAsia" w:ascii="宋体" w:hAnsi="宋体" w:eastAsia="宋体" w:cs="宋体"/>
          <w:kern w:val="0"/>
          <w:szCs w:val="21"/>
          <w:u w:val="single"/>
        </w:rPr>
        <w:t xml:space="preserve">   </w:t>
      </w:r>
      <w:r>
        <w:rPr>
          <w:rFonts w:hint="eastAsia" w:ascii="宋体" w:hAnsi="宋体" w:eastAsia="宋体" w:cs="宋体"/>
          <w:kern w:val="0"/>
          <w:szCs w:val="21"/>
        </w:rPr>
        <w:t>（姓名、职务）系</w:t>
      </w:r>
      <w:r>
        <w:rPr>
          <w:rFonts w:hint="eastAsia" w:ascii="宋体" w:hAnsi="宋体" w:eastAsia="宋体" w:cs="宋体"/>
          <w:kern w:val="0"/>
          <w:szCs w:val="21"/>
          <w:u w:val="single"/>
        </w:rPr>
        <w:t xml:space="preserve">    </w:t>
      </w:r>
      <w:r>
        <w:rPr>
          <w:rFonts w:hint="eastAsia" w:ascii="宋体" w:hAnsi="宋体" w:eastAsia="宋体" w:cs="宋体"/>
          <w:szCs w:val="21"/>
        </w:rPr>
        <w:t>供应商</w:t>
      </w:r>
      <w:r>
        <w:rPr>
          <w:rFonts w:hint="eastAsia" w:ascii="宋体" w:hAnsi="宋体" w:eastAsia="宋体" w:cs="宋体"/>
          <w:kern w:val="0"/>
          <w:szCs w:val="21"/>
        </w:rPr>
        <w:t>名称）的法定代表人，现授权</w:t>
      </w:r>
      <w:r>
        <w:rPr>
          <w:rFonts w:hint="eastAsia" w:ascii="宋体" w:hAnsi="宋体" w:eastAsia="宋体" w:cs="宋体"/>
          <w:kern w:val="0"/>
          <w:szCs w:val="21"/>
          <w:u w:val="single"/>
        </w:rPr>
        <w:t xml:space="preserve">   </w:t>
      </w:r>
      <w:r>
        <w:rPr>
          <w:rFonts w:hint="eastAsia" w:ascii="宋体" w:hAnsi="宋体" w:eastAsia="宋体" w:cs="宋体"/>
          <w:kern w:val="0"/>
          <w:szCs w:val="21"/>
        </w:rPr>
        <w:t>（姓名、职务）为我方代理人。代理人根据授权，以我方名义签署、澄清、说明、补正、递交、撤回、修改</w:t>
      </w:r>
      <w:r>
        <w:rPr>
          <w:rFonts w:hint="eastAsia" w:ascii="宋体" w:hAnsi="宋体" w:eastAsia="宋体" w:cs="宋体"/>
          <w:kern w:val="0"/>
          <w:szCs w:val="21"/>
          <w:u w:val="single"/>
        </w:rPr>
        <w:t xml:space="preserve">   </w:t>
      </w:r>
      <w:r>
        <w:rPr>
          <w:rFonts w:hint="eastAsia" w:ascii="宋体" w:hAnsi="宋体" w:eastAsia="宋体" w:cs="宋体"/>
          <w:kern w:val="0"/>
          <w:szCs w:val="21"/>
        </w:rPr>
        <w:t>项目名称、政府采购编号）谈判文件、签订合同和处理有关事宜，其法律后果由我方承担。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委托期限：</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adjustRightInd w:val="0"/>
        <w:snapToGrid w:val="0"/>
        <w:spacing w:before="156" w:beforeLines="50" w:line="360" w:lineRule="auto"/>
        <w:ind w:firstLine="435"/>
        <w:rPr>
          <w:rFonts w:hint="eastAsia" w:ascii="宋体" w:hAnsi="宋体" w:eastAsia="宋体" w:cs="宋体"/>
          <w:kern w:val="0"/>
          <w:szCs w:val="21"/>
        </w:rPr>
      </w:pPr>
      <w:r>
        <w:rPr>
          <w:rFonts w:hint="eastAsia" w:ascii="宋体" w:hAnsi="宋体" w:eastAsia="宋体" w:cs="宋体"/>
          <w:kern w:val="0"/>
          <w:szCs w:val="21"/>
        </w:rPr>
        <w:t>代理人无转委托权。</w:t>
      </w:r>
    </w:p>
    <w:p>
      <w:pPr>
        <w:adjustRightInd w:val="0"/>
        <w:snapToGrid w:val="0"/>
        <w:spacing w:before="156" w:beforeLines="50" w:line="360" w:lineRule="auto"/>
        <w:ind w:firstLine="435"/>
        <w:rPr>
          <w:rFonts w:hint="eastAsia" w:ascii="宋体" w:hAnsi="宋体" w:eastAsia="宋体" w:cs="宋体"/>
          <w:szCs w:val="21"/>
        </w:rPr>
      </w:pPr>
      <w:r>
        <w:rPr>
          <w:rFonts w:hint="eastAsia" w:ascii="宋体" w:hAnsi="宋体" w:eastAsia="宋体" w:cs="宋体"/>
          <w:szCs w:val="21"/>
        </w:rPr>
        <w:t>本授权书于</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日签字生效，特此声明。</w:t>
      </w:r>
    </w:p>
    <w:p>
      <w:pPr>
        <w:adjustRightInd w:val="0"/>
        <w:snapToGrid w:val="0"/>
        <w:spacing w:before="156" w:beforeLines="50" w:line="360" w:lineRule="auto"/>
        <w:ind w:firstLine="420" w:firstLineChars="200"/>
        <w:rPr>
          <w:rFonts w:hint="eastAsia" w:ascii="宋体" w:hAnsi="宋体" w:eastAsia="宋体" w:cs="宋体"/>
          <w:szCs w:val="21"/>
        </w:rPr>
      </w:pPr>
    </w:p>
    <w:tbl>
      <w:tblPr>
        <w:tblStyle w:val="15"/>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526" w:hRule="atLeast"/>
        </w:trPr>
        <w:tc>
          <w:tcPr>
            <w:tcW w:w="8528" w:type="dxa"/>
            <w:noWrap/>
            <w:vAlign w:val="center"/>
          </w:tcPr>
          <w:p>
            <w:pPr>
              <w:adjustRightInd w:val="0"/>
              <w:snapToGrid w:val="0"/>
              <w:spacing w:before="156" w:beforeLines="50" w:line="360" w:lineRule="auto"/>
              <w:jc w:val="center"/>
              <w:rPr>
                <w:rFonts w:hint="eastAsia" w:ascii="宋体" w:hAnsi="宋体" w:eastAsia="宋体" w:cs="宋体"/>
                <w:szCs w:val="21"/>
              </w:rPr>
            </w:pPr>
            <w:r>
              <w:rPr>
                <w:rFonts w:hint="eastAsia" w:ascii="宋体" w:hAnsi="宋体" w:eastAsia="宋体" w:cs="宋体"/>
                <w:szCs w:val="21"/>
              </w:rPr>
              <w:t>委托代理人身份证复印件</w:t>
            </w:r>
          </w:p>
        </w:tc>
      </w:tr>
    </w:tbl>
    <w:p>
      <w:pPr>
        <w:adjustRightInd w:val="0"/>
        <w:snapToGrid w:val="0"/>
        <w:spacing w:before="156" w:beforeLines="50" w:line="360" w:lineRule="auto"/>
        <w:ind w:firstLine="420" w:firstLineChars="200"/>
        <w:rPr>
          <w:rFonts w:hint="eastAsia" w:ascii="宋体" w:hAnsi="宋体" w:eastAsia="宋体" w:cs="宋体"/>
          <w:szCs w:val="21"/>
        </w:rPr>
      </w:pPr>
    </w:p>
    <w:p>
      <w:pPr>
        <w:adjustRightInd w:val="0"/>
        <w:snapToGrid w:val="0"/>
        <w:spacing w:before="156" w:beforeLines="50" w:line="360" w:lineRule="auto"/>
        <w:rPr>
          <w:rFonts w:hint="eastAsia" w:ascii="宋体" w:hAnsi="宋体" w:eastAsia="宋体" w:cs="宋体"/>
          <w:szCs w:val="21"/>
        </w:rPr>
      </w:pPr>
      <w:r>
        <w:rPr>
          <w:rFonts w:hint="eastAsia" w:ascii="宋体" w:hAnsi="宋体" w:eastAsia="宋体" w:cs="宋体"/>
          <w:szCs w:val="21"/>
        </w:rPr>
        <w:t>供应商名称（单位章）：</w:t>
      </w:r>
    </w:p>
    <w:p>
      <w:pPr>
        <w:adjustRightInd w:val="0"/>
        <w:snapToGrid w:val="0"/>
        <w:spacing w:before="156" w:beforeLines="50" w:line="360" w:lineRule="auto"/>
        <w:ind w:right="420"/>
        <w:rPr>
          <w:rFonts w:hint="eastAsia" w:ascii="宋体" w:hAnsi="宋体" w:eastAsia="宋体" w:cs="宋体"/>
          <w:szCs w:val="21"/>
        </w:rPr>
      </w:pPr>
      <w:r>
        <w:rPr>
          <w:rFonts w:hint="eastAsia" w:ascii="宋体" w:hAnsi="宋体" w:eastAsia="宋体" w:cs="宋体"/>
          <w:szCs w:val="21"/>
        </w:rPr>
        <w:t>法定代表人（签字）：</w:t>
      </w:r>
    </w:p>
    <w:p>
      <w:pPr>
        <w:adjustRightInd w:val="0"/>
        <w:snapToGrid w:val="0"/>
        <w:spacing w:before="156" w:beforeLines="50" w:line="360" w:lineRule="auto"/>
        <w:ind w:right="420"/>
        <w:rPr>
          <w:rFonts w:hint="eastAsia" w:ascii="宋体" w:hAnsi="宋体" w:eastAsia="宋体" w:cs="宋体"/>
          <w:szCs w:val="21"/>
        </w:rPr>
      </w:pPr>
      <w:r>
        <w:rPr>
          <w:rFonts w:hint="eastAsia" w:ascii="宋体" w:hAnsi="宋体" w:eastAsia="宋体" w:cs="宋体"/>
          <w:szCs w:val="21"/>
        </w:rPr>
        <w:t>身份证号码：</w:t>
      </w:r>
    </w:p>
    <w:p>
      <w:pPr>
        <w:adjustRightInd w:val="0"/>
        <w:snapToGrid w:val="0"/>
        <w:spacing w:before="156" w:beforeLines="50" w:line="360" w:lineRule="auto"/>
        <w:ind w:right="420"/>
        <w:rPr>
          <w:rFonts w:hint="eastAsia" w:ascii="宋体" w:hAnsi="宋体" w:eastAsia="宋体" w:cs="宋体"/>
          <w:szCs w:val="21"/>
        </w:rPr>
      </w:pPr>
      <w:r>
        <w:rPr>
          <w:rFonts w:hint="eastAsia" w:ascii="宋体" w:hAnsi="宋体" w:eastAsia="宋体" w:cs="宋体"/>
          <w:szCs w:val="21"/>
        </w:rPr>
        <w:t>联系电话：</w:t>
      </w:r>
    </w:p>
    <w:p>
      <w:pPr>
        <w:adjustRightInd w:val="0"/>
        <w:snapToGrid w:val="0"/>
        <w:spacing w:before="156" w:beforeLines="50" w:line="360" w:lineRule="auto"/>
        <w:ind w:right="420"/>
        <w:rPr>
          <w:rFonts w:hint="eastAsia" w:ascii="宋体" w:hAnsi="宋体" w:eastAsia="宋体" w:cs="宋体"/>
          <w:szCs w:val="21"/>
          <w:u w:val="single"/>
        </w:rPr>
      </w:pPr>
      <w:r>
        <w:rPr>
          <w:rFonts w:hint="eastAsia" w:ascii="宋体" w:hAnsi="宋体" w:eastAsia="宋体" w:cs="宋体"/>
          <w:szCs w:val="21"/>
        </w:rPr>
        <w:t>委托代理人（签字）：</w:t>
      </w:r>
    </w:p>
    <w:p>
      <w:pPr>
        <w:adjustRightInd w:val="0"/>
        <w:snapToGrid w:val="0"/>
        <w:spacing w:before="156" w:beforeLines="50" w:line="360" w:lineRule="auto"/>
        <w:ind w:right="420"/>
        <w:rPr>
          <w:rFonts w:hint="eastAsia" w:ascii="宋体" w:hAnsi="宋体" w:eastAsia="宋体" w:cs="宋体"/>
          <w:szCs w:val="21"/>
        </w:rPr>
      </w:pPr>
      <w:r>
        <w:rPr>
          <w:rFonts w:hint="eastAsia" w:ascii="宋体" w:hAnsi="宋体" w:eastAsia="宋体" w:cs="宋体"/>
          <w:szCs w:val="21"/>
        </w:rPr>
        <w:t>职务：</w:t>
      </w:r>
    </w:p>
    <w:p>
      <w:pPr>
        <w:adjustRightInd w:val="0"/>
        <w:snapToGrid w:val="0"/>
        <w:spacing w:before="156" w:beforeLines="50" w:line="360" w:lineRule="auto"/>
        <w:ind w:right="420"/>
        <w:rPr>
          <w:rFonts w:hint="eastAsia" w:ascii="宋体" w:hAnsi="宋体" w:eastAsia="宋体" w:cs="宋体"/>
          <w:szCs w:val="21"/>
        </w:rPr>
      </w:pPr>
      <w:r>
        <w:rPr>
          <w:rFonts w:hint="eastAsia" w:ascii="宋体" w:hAnsi="宋体" w:eastAsia="宋体" w:cs="宋体"/>
          <w:szCs w:val="21"/>
        </w:rPr>
        <w:t>身份证号码：</w:t>
      </w:r>
    </w:p>
    <w:p>
      <w:pPr>
        <w:widowControl w:val="0"/>
        <w:jc w:val="both"/>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联系电话：</w:t>
      </w:r>
    </w:p>
    <w:p>
      <w:pPr>
        <w:widowControl w:val="0"/>
        <w:jc w:val="both"/>
        <w:rPr>
          <w:rFonts w:hint="eastAsia" w:ascii="宋体" w:hAnsi="宋体" w:eastAsia="宋体" w:cs="宋体"/>
          <w:kern w:val="0"/>
          <w:sz w:val="24"/>
          <w:szCs w:val="21"/>
          <w:lang w:val="en-US" w:eastAsia="zh-CN" w:bidi="ar-SA"/>
        </w:rPr>
      </w:pPr>
    </w:p>
    <w:p>
      <w:pPr>
        <w:adjustRightInd w:val="0"/>
        <w:snapToGrid w:val="0"/>
        <w:spacing w:before="156" w:beforeLines="50" w:line="360" w:lineRule="auto"/>
        <w:ind w:right="420"/>
        <w:rPr>
          <w:rFonts w:hint="eastAsia" w:ascii="宋体" w:hAnsi="宋体" w:eastAsia="宋体" w:cs="宋体"/>
          <w:szCs w:val="21"/>
        </w:rPr>
      </w:pPr>
      <w:r>
        <w:rPr>
          <w:rFonts w:hint="eastAsia" w:ascii="宋体" w:hAnsi="宋体" w:eastAsia="宋体" w:cs="宋体"/>
          <w:szCs w:val="21"/>
        </w:rPr>
        <w:t>委托代理人详细地址：</w:t>
      </w:r>
    </w:p>
    <w:p>
      <w:pPr>
        <w:adjustRightInd w:val="0"/>
        <w:snapToGrid w:val="0"/>
        <w:spacing w:before="156" w:beforeLines="50" w:line="360" w:lineRule="auto"/>
        <w:ind w:right="420"/>
        <w:rPr>
          <w:rFonts w:hint="eastAsia" w:ascii="宋体" w:hAnsi="宋体" w:eastAsia="宋体" w:cs="宋体"/>
          <w:szCs w:val="21"/>
        </w:rPr>
        <w:sectPr>
          <w:pgSz w:w="11906" w:h="16838"/>
          <w:pgMar w:top="1440" w:right="1588" w:bottom="1440" w:left="1588" w:header="851" w:footer="992" w:gutter="0"/>
          <w:cols w:space="720" w:num="1"/>
          <w:docGrid w:type="lines" w:linePitch="312" w:charSpace="0"/>
        </w:sectPr>
      </w:pPr>
      <w:r>
        <w:rPr>
          <w:rFonts w:hint="eastAsia" w:ascii="宋体" w:hAnsi="宋体" w:eastAsia="宋体" w:cs="宋体"/>
          <w:szCs w:val="21"/>
        </w:rPr>
        <w:t xml:space="preserve"> 年   月  日</w:t>
      </w:r>
    </w:p>
    <w:p>
      <w:pPr>
        <w:rPr>
          <w:rFonts w:hint="eastAsia" w:ascii="宋体" w:hAnsi="宋体" w:eastAsia="宋体" w:cs="宋体"/>
        </w:rPr>
      </w:pPr>
    </w:p>
    <w:p>
      <w:pPr>
        <w:pStyle w:val="6"/>
        <w:bidi w:val="0"/>
        <w:rPr>
          <w:rFonts w:hint="default" w:ascii="Times New Roman" w:hAnsi="Times New Roman" w:cs="Times New Roman"/>
          <w:szCs w:val="24"/>
          <w:lang w:val="en-US" w:eastAsia="zh-CN"/>
        </w:rPr>
      </w:pPr>
      <w:bookmarkStart w:id="204" w:name="_Toc28668_WPSOffice_Level3"/>
      <w:bookmarkStart w:id="205" w:name="_Toc21397"/>
      <w:bookmarkStart w:id="206" w:name="_Toc417657282"/>
      <w:bookmarkStart w:id="207" w:name="_Toc417475050"/>
      <w:bookmarkStart w:id="208" w:name="_Toc417475049"/>
      <w:bookmarkStart w:id="209" w:name="_Toc409775275"/>
      <w:r>
        <w:rPr>
          <w:rFonts w:hint="default" w:ascii="Times New Roman" w:hAnsi="Times New Roman" w:eastAsia="宋体" w:cs="Times New Roman"/>
          <w:lang w:val="en-US" w:eastAsia="zh-CN"/>
        </w:rPr>
        <w:t>4.</w:t>
      </w:r>
      <w:r>
        <w:rPr>
          <w:rFonts w:hint="eastAsia" w:ascii="Times New Roman" w:hAnsi="Times New Roman" w:eastAsia="宋体" w:cs="Times New Roman"/>
          <w:lang w:val="en-US" w:eastAsia="zh-CN"/>
        </w:rPr>
        <w:t>6</w:t>
      </w:r>
      <w:r>
        <w:rPr>
          <w:rFonts w:hint="default" w:ascii="Times New Roman" w:hAnsi="Times New Roman" w:eastAsia="宋体" w:cs="Times New Roman"/>
          <w:lang w:val="en-US" w:eastAsia="zh-CN"/>
        </w:rPr>
        <w:t xml:space="preserve">.4 </w:t>
      </w:r>
      <w:bookmarkEnd w:id="204"/>
      <w:r>
        <w:rPr>
          <w:rFonts w:hint="default" w:ascii="Times New Roman" w:hAnsi="Times New Roman" w:eastAsia="宋体" w:cs="Times New Roman"/>
          <w:lang w:val="en-US" w:eastAsia="zh-CN"/>
        </w:rPr>
        <w:t>书面声明</w:t>
      </w:r>
      <w:bookmarkEnd w:id="205"/>
    </w:p>
    <w:p>
      <w:pPr>
        <w:widowControl/>
        <w:spacing w:after="360"/>
        <w:jc w:val="center"/>
        <w:textAlignment w:val="baseline"/>
        <w:rPr>
          <w:rFonts w:ascii="宋体" w:hAnsi="宋体" w:eastAsia="宋体" w:cs="宋体"/>
          <w:kern w:val="0"/>
          <w:sz w:val="24"/>
        </w:rPr>
      </w:pPr>
      <w:r>
        <w:rPr>
          <w:rFonts w:hint="eastAsia" w:ascii="宋体" w:hAnsi="宋体" w:eastAsia="宋体" w:cs="宋体"/>
          <w:b/>
          <w:bCs/>
          <w:kern w:val="0"/>
          <w:sz w:val="28"/>
          <w:szCs w:val="28"/>
        </w:rPr>
        <w:t>书面声明</w:t>
      </w:r>
    </w:p>
    <w:p>
      <w:pPr>
        <w:spacing w:line="360" w:lineRule="auto"/>
        <w:ind w:firstLine="480" w:firstLineChars="200"/>
        <w:rPr>
          <w:rFonts w:hint="eastAsia" w:ascii="宋体" w:hAnsi="宋体"/>
          <w:sz w:val="24"/>
        </w:rPr>
      </w:pPr>
      <w:r>
        <w:rPr>
          <w:rFonts w:hint="eastAsia" w:ascii="宋体" w:hAnsi="宋体"/>
          <w:sz w:val="24"/>
          <w:u w:val="single"/>
        </w:rPr>
        <w:t xml:space="preserve">        供应商全称        </w:t>
      </w:r>
      <w:r>
        <w:rPr>
          <w:rFonts w:hint="eastAsia" w:ascii="宋体" w:hAnsi="宋体"/>
          <w:sz w:val="24"/>
        </w:rPr>
        <w:t>在此声明，我单位参加政府采购活动前3年内未出现因违法经营受到刑事处罚或者责令停产停业、吊销许可证或者执照、较大数额罚款等行政处罚。</w:t>
      </w:r>
    </w:p>
    <w:p>
      <w:pPr>
        <w:widowControl w:val="0"/>
        <w:autoSpaceDE w:val="0"/>
        <w:autoSpaceDN w:val="0"/>
        <w:adjustRightInd w:val="0"/>
        <w:ind w:firstLine="720" w:firstLineChars="300"/>
        <w:rPr>
          <w:rFonts w:hint="eastAsia" w:ascii="宋体" w:hAnsi="Times New Roman" w:eastAsia="宋体" w:cs="宋体"/>
          <w:color w:val="000000"/>
          <w:sz w:val="24"/>
          <w:szCs w:val="24"/>
          <w:lang w:val="en-US" w:eastAsia="zh-CN" w:bidi="ar-SA"/>
        </w:rPr>
      </w:pPr>
      <w:r>
        <w:rPr>
          <w:rFonts w:hint="eastAsia" w:ascii="宋体" w:hAnsi="Times New Roman" w:eastAsia="宋体" w:cs="宋体"/>
          <w:color w:val="000000"/>
          <w:sz w:val="24"/>
          <w:szCs w:val="24"/>
          <w:lang w:val="en-US" w:eastAsia="zh-CN" w:bidi="ar-SA"/>
        </w:rPr>
        <w:t>我单位在投标截止时间前未被列入“信用中国”网（www.creditchina.gov.cn）失信被执行人、重大税收违法案件当事人名单、政府采购严重违法失信行为记录名单及中国政府采购网（www.ccgp.gov.cn）“政府采购严重违法失信行为信息记录”。</w:t>
      </w:r>
    </w:p>
    <w:p>
      <w:pPr>
        <w:spacing w:line="360" w:lineRule="auto"/>
        <w:rPr>
          <w:rFonts w:ascii="宋体" w:hAnsi="宋体"/>
          <w:sz w:val="24"/>
        </w:rPr>
      </w:pPr>
    </w:p>
    <w:p>
      <w:pPr>
        <w:widowControl w:val="0"/>
        <w:autoSpaceDE w:val="0"/>
        <w:autoSpaceDN w:val="0"/>
        <w:adjustRightInd w:val="0"/>
        <w:rPr>
          <w:rFonts w:ascii="宋体" w:hAnsi="Times New Roman" w:eastAsia="宋体" w:cs="宋体"/>
          <w:color w:val="000000"/>
          <w:sz w:val="24"/>
          <w:szCs w:val="24"/>
          <w:lang w:val="en-US" w:eastAsia="zh-CN" w:bidi="ar-SA"/>
        </w:rPr>
      </w:pPr>
    </w:p>
    <w:p>
      <w:pPr>
        <w:spacing w:line="360" w:lineRule="auto"/>
        <w:rPr>
          <w:rFonts w:ascii="宋体"/>
          <w:sz w:val="24"/>
        </w:rPr>
      </w:pPr>
      <w:r>
        <w:rPr>
          <w:rFonts w:hint="eastAsia" w:ascii="宋体"/>
          <w:sz w:val="24"/>
        </w:rPr>
        <w:t>供应商：</w:t>
      </w:r>
      <w:r>
        <w:rPr>
          <w:rFonts w:hint="eastAsia" w:ascii="宋体"/>
          <w:sz w:val="24"/>
          <w:u w:val="single"/>
        </w:rPr>
        <w:t xml:space="preserve">                                 </w:t>
      </w:r>
      <w:r>
        <w:rPr>
          <w:rFonts w:hint="eastAsia" w:ascii="宋体"/>
          <w:sz w:val="24"/>
        </w:rPr>
        <w:t>（盖单位公章）</w:t>
      </w:r>
    </w:p>
    <w:p>
      <w:pPr>
        <w:spacing w:line="360" w:lineRule="auto"/>
        <w:rPr>
          <w:rFonts w:ascii="宋体"/>
          <w:sz w:val="24"/>
        </w:rPr>
      </w:pPr>
      <w:r>
        <w:rPr>
          <w:rFonts w:hint="eastAsia" w:ascii="宋体"/>
          <w:sz w:val="24"/>
        </w:rPr>
        <w:t>法定代表人或其委托代理人：</w:t>
      </w:r>
      <w:r>
        <w:rPr>
          <w:rFonts w:hint="eastAsia" w:ascii="宋体"/>
          <w:sz w:val="24"/>
          <w:u w:val="single"/>
        </w:rPr>
        <w:t xml:space="preserve">                  </w:t>
      </w:r>
      <w:r>
        <w:rPr>
          <w:rFonts w:hint="eastAsia" w:ascii="宋体"/>
          <w:sz w:val="24"/>
        </w:rPr>
        <w:t>（签字或盖章）</w:t>
      </w:r>
    </w:p>
    <w:p>
      <w:pPr>
        <w:spacing w:line="360" w:lineRule="auto"/>
        <w:rPr>
          <w:rFonts w:hint="eastAsia" w:ascii="宋体" w:hAnsi="宋体" w:eastAsia="宋体" w:cs="宋体"/>
          <w:b w:val="0"/>
          <w:bCs w:val="0"/>
          <w:sz w:val="28"/>
          <w:szCs w:val="28"/>
        </w:rPr>
      </w:pPr>
      <w:r>
        <w:rPr>
          <w:rFonts w:hint="eastAsia"/>
          <w:sz w:val="24"/>
        </w:rPr>
        <w:t>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sz w:val="24"/>
        </w:rPr>
        <w:t>日</w:t>
      </w:r>
    </w:p>
    <w:p>
      <w:pPr>
        <w:widowControl w:val="0"/>
        <w:tabs>
          <w:tab w:val="left" w:pos="360"/>
          <w:tab w:val="left" w:pos="900"/>
          <w:tab w:val="left" w:pos="1588"/>
        </w:tabs>
        <w:adjustRightInd w:val="0"/>
        <w:spacing w:before="0" w:line="360" w:lineRule="auto"/>
        <w:jc w:val="both"/>
        <w:textAlignment w:val="baseline"/>
        <w:outlineLvl w:val="2"/>
        <w:rPr>
          <w:rFonts w:hint="eastAsia" w:ascii="宋体" w:hAnsi="宋体" w:eastAsia="宋体" w:cs="宋体"/>
          <w:b w:val="0"/>
          <w:bCs w:val="0"/>
          <w:kern w:val="0"/>
          <w:sz w:val="24"/>
          <w:szCs w:val="24"/>
          <w:lang w:val="en-US" w:eastAsia="zh-CN" w:bidi="ar-SA"/>
        </w:rPr>
      </w:pPr>
      <w:bookmarkStart w:id="210" w:name="_Toc17236_WPSOffice_Level3"/>
    </w:p>
    <w:p>
      <w:pPr>
        <w:widowControl w:val="0"/>
        <w:tabs>
          <w:tab w:val="left" w:pos="360"/>
          <w:tab w:val="left" w:pos="900"/>
          <w:tab w:val="left" w:pos="1588"/>
        </w:tabs>
        <w:adjustRightInd w:val="0"/>
        <w:spacing w:before="0" w:line="360" w:lineRule="auto"/>
        <w:ind w:left="210" w:leftChars="100" w:firstLine="0"/>
        <w:jc w:val="both"/>
        <w:textAlignment w:val="baseline"/>
        <w:outlineLvl w:val="2"/>
        <w:rPr>
          <w:rFonts w:hint="eastAsia" w:ascii="宋体" w:hAnsi="宋体" w:eastAsia="宋体" w:cs="宋体"/>
          <w:b w:val="0"/>
          <w:bCs w:val="0"/>
          <w:kern w:val="0"/>
          <w:sz w:val="24"/>
          <w:szCs w:val="24"/>
          <w:lang w:val="en-US" w:eastAsia="zh-CN" w:bidi="ar-SA"/>
        </w:rPr>
      </w:pPr>
    </w:p>
    <w:p>
      <w:pPr>
        <w:widowControl w:val="0"/>
        <w:tabs>
          <w:tab w:val="left" w:pos="360"/>
          <w:tab w:val="left" w:pos="900"/>
          <w:tab w:val="left" w:pos="1588"/>
        </w:tabs>
        <w:adjustRightInd w:val="0"/>
        <w:spacing w:before="0" w:line="360" w:lineRule="auto"/>
        <w:ind w:left="210" w:leftChars="100" w:firstLine="0"/>
        <w:jc w:val="both"/>
        <w:textAlignment w:val="baseline"/>
        <w:outlineLvl w:val="2"/>
        <w:rPr>
          <w:rFonts w:hint="eastAsia" w:ascii="宋体" w:hAnsi="宋体" w:eastAsia="宋体" w:cs="宋体"/>
          <w:b w:val="0"/>
          <w:bCs w:val="0"/>
          <w:kern w:val="0"/>
          <w:sz w:val="24"/>
          <w:szCs w:val="24"/>
          <w:lang w:val="en-US" w:eastAsia="zh-CN" w:bidi="ar-SA"/>
        </w:rPr>
      </w:pPr>
    </w:p>
    <w:p>
      <w:pPr>
        <w:widowControl w:val="0"/>
        <w:tabs>
          <w:tab w:val="left" w:pos="360"/>
          <w:tab w:val="left" w:pos="900"/>
          <w:tab w:val="left" w:pos="1588"/>
        </w:tabs>
        <w:adjustRightInd w:val="0"/>
        <w:spacing w:before="0" w:line="360" w:lineRule="auto"/>
        <w:ind w:left="210" w:leftChars="100" w:firstLine="0"/>
        <w:jc w:val="both"/>
        <w:textAlignment w:val="baseline"/>
        <w:outlineLvl w:val="2"/>
        <w:rPr>
          <w:rFonts w:hint="eastAsia" w:ascii="宋体" w:hAnsi="宋体" w:eastAsia="宋体" w:cs="宋体"/>
          <w:b w:val="0"/>
          <w:bCs w:val="0"/>
          <w:kern w:val="0"/>
          <w:sz w:val="24"/>
          <w:szCs w:val="24"/>
          <w:lang w:val="en-US" w:eastAsia="zh-CN" w:bidi="ar-SA"/>
        </w:rPr>
      </w:pPr>
    </w:p>
    <w:p>
      <w:pPr>
        <w:widowControl w:val="0"/>
        <w:tabs>
          <w:tab w:val="left" w:pos="360"/>
          <w:tab w:val="left" w:pos="900"/>
          <w:tab w:val="left" w:pos="1588"/>
        </w:tabs>
        <w:adjustRightInd w:val="0"/>
        <w:spacing w:before="0" w:line="360" w:lineRule="auto"/>
        <w:jc w:val="both"/>
        <w:textAlignment w:val="baseline"/>
        <w:outlineLvl w:val="2"/>
        <w:rPr>
          <w:rFonts w:hint="eastAsia" w:ascii="宋体" w:hAnsi="宋体" w:eastAsia="宋体" w:cs="宋体"/>
          <w:b w:val="0"/>
          <w:bCs w:val="0"/>
          <w:kern w:val="0"/>
          <w:sz w:val="24"/>
          <w:szCs w:val="24"/>
          <w:lang w:val="en-US" w:eastAsia="zh-CN" w:bidi="ar-SA"/>
        </w:rPr>
        <w:sectPr>
          <w:pgSz w:w="11906" w:h="16838"/>
          <w:pgMar w:top="1440" w:right="1588" w:bottom="1440" w:left="1588" w:header="851" w:footer="992" w:gutter="0"/>
          <w:cols w:space="720" w:num="1"/>
          <w:docGrid w:type="lines" w:linePitch="312" w:charSpace="0"/>
        </w:sectPr>
      </w:pPr>
    </w:p>
    <w:bookmarkEnd w:id="206"/>
    <w:bookmarkEnd w:id="207"/>
    <w:bookmarkEnd w:id="208"/>
    <w:bookmarkEnd w:id="209"/>
    <w:bookmarkEnd w:id="210"/>
    <w:p>
      <w:pPr>
        <w:pStyle w:val="5"/>
        <w:bidi w:val="0"/>
        <w:jc w:val="center"/>
        <w:rPr>
          <w:rFonts w:hint="eastAsia" w:ascii="宋体" w:hAnsi="宋体" w:eastAsia="宋体" w:cs="宋体"/>
          <w:b/>
          <w:kern w:val="0"/>
          <w:szCs w:val="24"/>
          <w:lang w:val="en-US" w:eastAsia="zh-CN" w:bidi="ar-SA"/>
        </w:rPr>
      </w:pPr>
      <w:bookmarkStart w:id="211" w:name="_Toc417657284"/>
      <w:bookmarkStart w:id="212" w:name="_Toc60996694"/>
      <w:bookmarkStart w:id="213" w:name="_Toc9163"/>
      <w:bookmarkStart w:id="214" w:name="_Toc417475051"/>
      <w:bookmarkStart w:id="215" w:name="_Toc1865"/>
      <w:bookmarkStart w:id="216" w:name="_Toc15539_WPSOffice_Level3"/>
      <w:r>
        <w:rPr>
          <w:rFonts w:hint="default" w:ascii="Times New Roman" w:hAnsi="Times New Roman" w:eastAsia="宋体" w:cs="Times New Roman"/>
          <w:lang w:val="en-US" w:eastAsia="zh-CN"/>
        </w:rPr>
        <w:t>4.</w:t>
      </w:r>
      <w:r>
        <w:rPr>
          <w:rFonts w:hint="eastAsia" w:ascii="Times New Roman" w:hAnsi="Times New Roman" w:eastAsia="宋体" w:cs="Times New Roman"/>
          <w:lang w:val="en-US" w:eastAsia="zh-CN"/>
        </w:rPr>
        <w:t>7</w:t>
      </w:r>
      <w:r>
        <w:rPr>
          <w:rFonts w:hint="default" w:ascii="Times New Roman" w:hAnsi="Times New Roman" w:eastAsia="宋体" w:cs="Times New Roman"/>
          <w:lang w:val="en-US" w:eastAsia="zh-CN"/>
        </w:rPr>
        <w:t xml:space="preserve"> 构成响应文件的其他资料</w:t>
      </w:r>
      <w:bookmarkEnd w:id="211"/>
      <w:bookmarkEnd w:id="212"/>
      <w:bookmarkEnd w:id="213"/>
      <w:bookmarkEnd w:id="214"/>
      <w:bookmarkEnd w:id="215"/>
      <w:bookmarkEnd w:id="216"/>
    </w:p>
    <w:p>
      <w:pPr>
        <w:rPr>
          <w:rFonts w:hint="eastAsia" w:ascii="宋体" w:hAnsi="宋体" w:eastAsia="宋体" w:cs="宋体"/>
        </w:rPr>
      </w:pP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1、供应商纳税证明材料</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2021年1月至今期间任意连续2个月的税务局税收通用缴款书复印件或银行电子缴税（费）凭证复印件或税务局出具纳税情况的相关证明复印件。</w:t>
      </w:r>
    </w:p>
    <w:p>
      <w:pPr>
        <w:spacing w:line="460" w:lineRule="exact"/>
        <w:ind w:firstLine="480" w:firstLineChars="200"/>
        <w:rPr>
          <w:rFonts w:hint="default" w:ascii="Times New Roman" w:hAnsi="Times New Roman" w:eastAsia="宋体" w:cs="Times New Roman"/>
          <w:sz w:val="24"/>
        </w:rPr>
      </w:pP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2、供应商近三年财务状况报告</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2019～2021年度的财务报表复印件；如成立不满三年的，提供成立以后应有的财务报表资料。</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3、供应商缴纳社会保险证明资料</w:t>
      </w:r>
    </w:p>
    <w:p>
      <w:pPr>
        <w:spacing w:line="4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2021年1月至今期间任意连续2个的依法缴纳社会保险的证明（缴费凭证复印件），或者委托他人缴纳的委托代办协议和2021年1月至今期间任意连续2个月的缴纳证明（收据复印件），或者法定征收机关出具的依法免缴保险费的证明原件。</w:t>
      </w:r>
    </w:p>
    <w:p>
      <w:pPr>
        <w:spacing w:line="460" w:lineRule="exact"/>
        <w:ind w:firstLine="480" w:firstLineChars="200"/>
        <w:rPr>
          <w:rFonts w:hint="eastAsia" w:ascii="宋体" w:hAnsi="宋体" w:eastAsia="宋体" w:cs="宋体"/>
          <w:b/>
          <w:bCs/>
          <w:kern w:val="2"/>
          <w:sz w:val="24"/>
          <w:szCs w:val="24"/>
          <w:lang w:val="en-US" w:eastAsia="zh-CN" w:bidi="ar-SA"/>
        </w:rPr>
      </w:pPr>
      <w:r>
        <w:rPr>
          <w:rFonts w:hint="default" w:ascii="Times New Roman" w:hAnsi="Times New Roman" w:eastAsia="宋体" w:cs="Times New Roman"/>
          <w:sz w:val="24"/>
        </w:rPr>
        <w:t>4、</w:t>
      </w:r>
      <w:r>
        <w:rPr>
          <w:rFonts w:hint="eastAsia" w:ascii="Times New Roman" w:hAnsi="Times New Roman" w:eastAsia="宋体" w:cs="Times New Roman"/>
          <w:sz w:val="24"/>
          <w:lang w:val="en-US" w:eastAsia="zh-CN"/>
        </w:rPr>
        <w:t>竞争性谈判</w:t>
      </w:r>
      <w:r>
        <w:rPr>
          <w:rFonts w:hint="default" w:ascii="Times New Roman" w:hAnsi="Times New Roman" w:eastAsia="宋体" w:cs="Times New Roman"/>
          <w:sz w:val="24"/>
        </w:rPr>
        <w:t>文件中所涉及到的相关资料及证明文件或供应商认为必须提供的其他相关资料。</w:t>
      </w:r>
    </w:p>
    <w:p>
      <w:pPr>
        <w:spacing w:line="640" w:lineRule="exact"/>
        <w:rPr>
          <w:rFonts w:hint="eastAsia" w:ascii="宋体" w:hAnsi="宋体" w:eastAsia="宋体" w:cs="宋体"/>
          <w:sz w:val="24"/>
        </w:rPr>
      </w:pPr>
      <w:bookmarkStart w:id="217" w:name="_Toc17377_WPSOffice_Level3"/>
      <w:bookmarkStart w:id="218" w:name="_Toc8522_WPSOffice_Level2"/>
    </w:p>
    <w:p>
      <w:pPr>
        <w:pStyle w:val="2"/>
        <w:rPr>
          <w:rFonts w:hint="eastAsia" w:ascii="宋体" w:hAnsi="宋体" w:eastAsia="宋体" w:cs="宋体"/>
          <w:sz w:val="24"/>
        </w:rPr>
      </w:pPr>
    </w:p>
    <w:p>
      <w:pPr>
        <w:pStyle w:val="2"/>
        <w:rPr>
          <w:rFonts w:hint="eastAsia" w:ascii="宋体" w:hAnsi="宋体" w:eastAsia="宋体" w:cs="宋体"/>
          <w:sz w:val="24"/>
        </w:rPr>
        <w:sectPr>
          <w:pgSz w:w="11906" w:h="16838"/>
          <w:pgMar w:top="1440" w:right="1588" w:bottom="1440" w:left="1588" w:header="851" w:footer="992" w:gutter="0"/>
          <w:cols w:space="720" w:num="1"/>
          <w:docGrid w:type="lines" w:linePitch="312" w:charSpace="0"/>
        </w:sectPr>
      </w:pPr>
    </w:p>
    <w:p>
      <w:pPr>
        <w:pStyle w:val="5"/>
        <w:bidi w:val="0"/>
        <w:rPr>
          <w:rFonts w:hint="default" w:eastAsia="仿宋_GB2312"/>
          <w:lang w:val="en-US" w:eastAsia="zh-CN"/>
        </w:rPr>
      </w:pPr>
      <w:bookmarkStart w:id="219" w:name="_Toc30950"/>
      <w:r>
        <w:rPr>
          <w:rFonts w:hint="default" w:ascii="Times New Roman" w:hAnsi="Times New Roman" w:cs="Times New Roman"/>
          <w:lang w:val="en-US" w:eastAsia="zh-CN"/>
        </w:rPr>
        <w:t>4.</w:t>
      </w:r>
      <w:r>
        <w:rPr>
          <w:rFonts w:hint="eastAsia" w:ascii="Times New Roman" w:hAnsi="Times New Roman" w:cs="Times New Roman"/>
          <w:lang w:val="en-US" w:eastAsia="zh-CN"/>
        </w:rPr>
        <w:t>8</w:t>
      </w:r>
      <w:r>
        <w:rPr>
          <w:rFonts w:hint="default" w:ascii="Times New Roman" w:hAnsi="Times New Roman" w:cs="Times New Roman"/>
          <w:lang w:val="en-US" w:eastAsia="zh-CN"/>
        </w:rPr>
        <w:t xml:space="preserve"> 中小企业（残疾人福利性单位、监狱企业）声明函</w:t>
      </w:r>
      <w:bookmarkEnd w:id="219"/>
    </w:p>
    <w:p>
      <w:pPr>
        <w:pStyle w:val="6"/>
        <w:bidi w:val="0"/>
        <w:rPr>
          <w:lang w:val="en-US" w:eastAsia="zh-CN"/>
        </w:rPr>
      </w:pPr>
      <w:bookmarkStart w:id="220" w:name="_Toc20693"/>
      <w:r>
        <w:rPr>
          <w:rFonts w:hint="default" w:ascii="Times New Roman" w:hAnsi="Times New Roman" w:cs="Times New Roman"/>
          <w:sz w:val="28"/>
          <w:szCs w:val="28"/>
          <w:lang w:val="en-US" w:eastAsia="zh-CN"/>
        </w:rPr>
        <w:t>4.</w:t>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lang w:val="en-US" w:eastAsia="zh-CN"/>
        </w:rPr>
        <w:t xml:space="preserve">.1 </w:t>
      </w:r>
      <w:r>
        <w:rPr>
          <w:rFonts w:hint="eastAsia" w:ascii="Times New Roman" w:hAnsi="Times New Roman" w:cs="Times New Roman"/>
          <w:sz w:val="28"/>
          <w:szCs w:val="28"/>
          <w:lang w:val="en-US" w:eastAsia="zh-CN"/>
        </w:rPr>
        <w:t>中小</w:t>
      </w:r>
      <w:r>
        <w:rPr>
          <w:rFonts w:hint="default" w:ascii="Times New Roman" w:hAnsi="Times New Roman" w:cs="Times New Roman"/>
          <w:sz w:val="28"/>
          <w:szCs w:val="28"/>
          <w:lang w:val="en-US" w:eastAsia="zh-CN"/>
        </w:rPr>
        <w:t>企业声明函</w:t>
      </w:r>
      <w:bookmarkEnd w:id="220"/>
    </w:p>
    <w:p>
      <w:pPr>
        <w:spacing w:line="360" w:lineRule="auto"/>
        <w:ind w:firstLine="562" w:firstLineChars="200"/>
        <w:jc w:val="center"/>
        <w:rPr>
          <w:rFonts w:ascii="仿宋_GB2312" w:eastAsia="仿宋_GB2312"/>
          <w:b/>
          <w:szCs w:val="21"/>
        </w:rPr>
      </w:pPr>
      <w:r>
        <w:rPr>
          <w:rFonts w:hint="eastAsia" w:ascii="宋体"/>
          <w:b/>
          <w:sz w:val="28"/>
          <w:szCs w:val="28"/>
          <w:lang w:val="en-US" w:eastAsia="zh-CN"/>
        </w:rPr>
        <w:t>中小</w:t>
      </w:r>
      <w:r>
        <w:rPr>
          <w:rFonts w:hint="eastAsia" w:ascii="宋体"/>
          <w:b/>
          <w:sz w:val="28"/>
          <w:szCs w:val="28"/>
        </w:rPr>
        <w:t>企业声明函</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本公司郑重声明，根据《政府采购促进中小企业发展管理办法》（财库[2020]46号）的规定，本公司为</w:t>
      </w:r>
      <w:bookmarkStart w:id="221" w:name="OLE_LINK2"/>
      <w:bookmarkStart w:id="222" w:name="OLE_LINK5"/>
      <w:r>
        <w:rPr>
          <w:rFonts w:hint="default" w:ascii="Times New Roman" w:hAnsi="Times New Roman" w:cs="Times New Roman"/>
          <w:sz w:val="24"/>
          <w:szCs w:val="24"/>
        </w:rPr>
        <w:t>______（请填写：中型、小型、微型）企业</w:t>
      </w:r>
      <w:bookmarkEnd w:id="221"/>
      <w:bookmarkEnd w:id="222"/>
      <w:r>
        <w:rPr>
          <w:rFonts w:hint="default" w:ascii="Times New Roman" w:hAnsi="Times New Roman" w:cs="Times New Roman"/>
          <w:sz w:val="24"/>
          <w:szCs w:val="24"/>
        </w:rPr>
        <w:t>。即，本公司同时满足以下条件：</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80" w:firstLineChars="200"/>
        <w:rPr>
          <w:rFonts w:ascii="宋体" w:hAnsi="宋体"/>
          <w:szCs w:val="21"/>
        </w:rPr>
      </w:pPr>
      <w:r>
        <w:rPr>
          <w:rFonts w:hint="default" w:ascii="Times New Roman" w:hAnsi="Times New Roman" w:cs="Times New Roman"/>
          <w:sz w:val="24"/>
          <w:szCs w:val="24"/>
        </w:rPr>
        <w:t>本公司对上述声明的真实性负责。如有虚假，将依法承担相应责任</w:t>
      </w:r>
      <w:r>
        <w:rPr>
          <w:rFonts w:hint="eastAsia" w:ascii="宋体" w:hAnsi="宋体"/>
          <w:sz w:val="24"/>
          <w:szCs w:val="24"/>
        </w:rPr>
        <w:t>。</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sz w:val="24"/>
        </w:rPr>
      </w:pPr>
      <w:r>
        <w:rPr>
          <w:rFonts w:hint="eastAsia" w:ascii="宋体"/>
          <w:sz w:val="24"/>
        </w:rPr>
        <w:t>供应商：</w:t>
      </w:r>
      <w:r>
        <w:rPr>
          <w:rFonts w:hint="eastAsia" w:ascii="宋体"/>
          <w:sz w:val="24"/>
          <w:u w:val="single"/>
        </w:rPr>
        <w:t xml:space="preserve">                                 </w:t>
      </w:r>
      <w:r>
        <w:rPr>
          <w:rFonts w:hint="eastAsia" w:ascii="宋体"/>
          <w:sz w:val="24"/>
        </w:rPr>
        <w:t>（盖单位公章）</w:t>
      </w:r>
    </w:p>
    <w:p>
      <w:pPr>
        <w:spacing w:line="360" w:lineRule="auto"/>
        <w:rPr>
          <w:rFonts w:ascii="宋体"/>
          <w:sz w:val="24"/>
        </w:rPr>
      </w:pPr>
      <w:r>
        <w:rPr>
          <w:rFonts w:hint="eastAsia" w:ascii="宋体"/>
          <w:sz w:val="24"/>
        </w:rPr>
        <w:t>法定代表人或其委托代理人：</w:t>
      </w:r>
      <w:r>
        <w:rPr>
          <w:rFonts w:hint="eastAsia" w:ascii="宋体"/>
          <w:sz w:val="24"/>
          <w:u w:val="single"/>
        </w:rPr>
        <w:t xml:space="preserve">                  </w:t>
      </w:r>
      <w:r>
        <w:rPr>
          <w:rFonts w:hint="eastAsia" w:ascii="宋体"/>
          <w:sz w:val="24"/>
        </w:rPr>
        <w:t>（签字或盖章）</w:t>
      </w:r>
    </w:p>
    <w:p>
      <w:pPr>
        <w:pStyle w:val="9"/>
        <w:ind w:left="0" w:leftChars="0" w:right="1470"/>
        <w:rPr>
          <w:rFonts w:hint="eastAsia"/>
          <w:sz w:val="24"/>
        </w:rPr>
      </w:pPr>
      <w:r>
        <w:rPr>
          <w:rFonts w:hint="eastAsia"/>
          <w:sz w:val="24"/>
        </w:rPr>
        <w:t>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sz w:val="24"/>
        </w:rPr>
        <w:t>日</w:t>
      </w:r>
    </w:p>
    <w:p>
      <w:pPr>
        <w:pStyle w:val="9"/>
        <w:ind w:left="0" w:leftChars="0" w:right="1470"/>
        <w:rPr>
          <w:rFonts w:hint="eastAsia"/>
          <w:sz w:val="24"/>
        </w:rPr>
      </w:pPr>
    </w:p>
    <w:p>
      <w:pPr>
        <w:widowControl/>
        <w:spacing w:line="360" w:lineRule="auto"/>
        <w:jc w:val="left"/>
        <w:rPr>
          <w:rFonts w:hint="eastAsia" w:ascii="宋体" w:hAnsi="宋体" w:eastAsia="宋体" w:cs="Times New Roman"/>
          <w:b/>
          <w:color w:val="000000"/>
          <w:sz w:val="24"/>
          <w:szCs w:val="30"/>
        </w:rPr>
      </w:pPr>
      <w:r>
        <w:rPr>
          <w:rFonts w:hint="eastAsia" w:ascii="宋体" w:hAnsi="宋体" w:eastAsia="宋体" w:cs="Times New Roman"/>
          <w:b/>
          <w:color w:val="000000"/>
          <w:sz w:val="24"/>
          <w:szCs w:val="30"/>
        </w:rPr>
        <w:t>注：1、中小企业提供本企业制造的货物参与投标时，须提供本企业的《中小企业声明函》；中小企业提供其他中小企业制造的货物参与投标时，还须同时提供货物制造企业的《中小企业声明函》。</w:t>
      </w:r>
    </w:p>
    <w:p>
      <w:pPr>
        <w:pStyle w:val="9"/>
        <w:ind w:left="0" w:leftChars="0" w:right="1470"/>
        <w:rPr>
          <w:rFonts w:hint="eastAsia"/>
          <w:sz w:val="24"/>
        </w:rPr>
      </w:pPr>
      <w:r>
        <w:rPr>
          <w:rFonts w:hint="eastAsia" w:ascii="宋体" w:hAnsi="宋体" w:eastAsia="宋体" w:cs="Times New Roman"/>
          <w:b/>
          <w:color w:val="000000"/>
          <w:sz w:val="24"/>
          <w:szCs w:val="30"/>
        </w:rPr>
        <w:t>2、需提供相关证明材料。</w:t>
      </w:r>
    </w:p>
    <w:p>
      <w:pPr>
        <w:pStyle w:val="9"/>
        <w:ind w:left="0" w:leftChars="0" w:right="1470"/>
        <w:rPr>
          <w:rFonts w:hint="eastAsia"/>
          <w:sz w:val="24"/>
        </w:rPr>
      </w:pPr>
    </w:p>
    <w:p>
      <w:pPr>
        <w:pStyle w:val="9"/>
        <w:ind w:left="0" w:leftChars="0" w:right="1470"/>
        <w:rPr>
          <w:rFonts w:ascii="宋体" w:hAnsi="宋体" w:eastAsia="宋体" w:cs="Times New Roman"/>
          <w:b/>
          <w:bCs/>
          <w:sz w:val="24"/>
          <w:szCs w:val="20"/>
        </w:rPr>
        <w:sectPr>
          <w:pgSz w:w="11906" w:h="16838"/>
          <w:pgMar w:top="1440" w:right="1800" w:bottom="1440" w:left="1800" w:header="851" w:footer="992" w:gutter="0"/>
          <w:cols w:space="425" w:num="1"/>
          <w:docGrid w:type="lines" w:linePitch="312" w:charSpace="0"/>
        </w:sectPr>
      </w:pPr>
    </w:p>
    <w:p>
      <w:pPr>
        <w:keepNext/>
        <w:keepLines/>
        <w:widowControl w:val="0"/>
        <w:numPr>
          <w:ilvl w:val="2"/>
          <w:numId w:val="0"/>
        </w:numPr>
        <w:spacing w:line="413" w:lineRule="auto"/>
        <w:jc w:val="both"/>
        <w:outlineLvl w:val="2"/>
        <w:rPr>
          <w:rFonts w:ascii="宋体" w:hAnsi="宋体" w:eastAsia="宋体" w:cs="Times New Roman"/>
          <w:b/>
          <w:bCs/>
          <w:kern w:val="2"/>
          <w:sz w:val="32"/>
          <w:szCs w:val="20"/>
          <w:lang w:val="en-US" w:eastAsia="zh-CN" w:bidi="ar-SA"/>
        </w:rPr>
      </w:pPr>
      <w:bookmarkStart w:id="223" w:name="_Toc2528"/>
      <w:bookmarkStart w:id="224" w:name="_Toc31785"/>
      <w:r>
        <w:rPr>
          <w:rFonts w:ascii="Times New Roman" w:hAnsi="Times New Roman" w:eastAsia="宋体" w:cs="Times New Roman"/>
          <w:b/>
          <w:kern w:val="2"/>
          <w:sz w:val="28"/>
          <w:szCs w:val="28"/>
          <w:lang w:val="en-US" w:eastAsia="zh-CN" w:bidi="ar-SA"/>
        </w:rPr>
        <w:t>4.</w:t>
      </w:r>
      <w:r>
        <w:rPr>
          <w:rFonts w:hint="eastAsia" w:ascii="Times New Roman" w:hAnsi="Times New Roman" w:eastAsia="宋体" w:cs="Times New Roman"/>
          <w:b/>
          <w:kern w:val="2"/>
          <w:sz w:val="28"/>
          <w:szCs w:val="28"/>
          <w:lang w:val="en-US" w:eastAsia="zh-CN" w:bidi="ar-SA"/>
        </w:rPr>
        <w:t>8</w:t>
      </w:r>
      <w:r>
        <w:rPr>
          <w:rFonts w:ascii="Times New Roman" w:hAnsi="Times New Roman" w:eastAsia="宋体" w:cs="Times New Roman"/>
          <w:b/>
          <w:kern w:val="2"/>
          <w:sz w:val="28"/>
          <w:szCs w:val="28"/>
          <w:lang w:val="en-US" w:eastAsia="zh-CN" w:bidi="ar-SA"/>
        </w:rPr>
        <w:t>.2 残疾人福利性单位声明函</w:t>
      </w:r>
      <w:bookmarkEnd w:id="223"/>
      <w:bookmarkEnd w:id="224"/>
    </w:p>
    <w:p>
      <w:pPr>
        <w:pStyle w:val="9"/>
        <w:ind w:left="1470" w:right="1470"/>
        <w:jc w:val="center"/>
        <w:rPr>
          <w:rFonts w:ascii="宋体" w:hAnsi="宋体" w:eastAsia="宋体" w:cs="Times New Roman"/>
          <w:b/>
          <w:bCs/>
          <w:sz w:val="24"/>
          <w:szCs w:val="20"/>
        </w:rPr>
      </w:pPr>
      <w:r>
        <w:rPr>
          <w:rFonts w:hint="eastAsia" w:ascii="宋体"/>
          <w:b/>
          <w:sz w:val="28"/>
          <w:szCs w:val="28"/>
        </w:rPr>
        <w:t>残疾人福利性单位声明函</w:t>
      </w:r>
    </w:p>
    <w:p>
      <w:pPr>
        <w:pStyle w:val="9"/>
        <w:ind w:left="0" w:leftChars="0" w:right="1470"/>
        <w:rPr>
          <w:rFonts w:ascii="宋体" w:hAnsi="宋体" w:eastAsia="宋体" w:cs="Times New Roman"/>
          <w:b/>
          <w:bCs/>
          <w:sz w:val="24"/>
          <w:szCs w:val="20"/>
        </w:rPr>
      </w:pPr>
    </w:p>
    <w:p>
      <w:pPr>
        <w:spacing w:line="360" w:lineRule="auto"/>
        <w:ind w:firstLine="480" w:firstLineChars="200"/>
        <w:rPr>
          <w:rFonts w:hint="default" w:ascii="Times New Roman" w:hAnsi="Times New Roman" w:eastAsia="宋体" w:cs="Times New Roman"/>
          <w:bCs/>
          <w:sz w:val="24"/>
          <w:szCs w:val="30"/>
        </w:rPr>
      </w:pPr>
      <w:r>
        <w:rPr>
          <w:rFonts w:hint="default" w:ascii="Times New Roman" w:hAnsi="Times New Roman" w:eastAsia="宋体" w:cs="Times New Roman"/>
          <w:bCs/>
          <w:sz w:val="24"/>
          <w:szCs w:val="3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Times New Roman" w:hAnsi="Times New Roman" w:eastAsia="宋体" w:cs="Times New Roman"/>
          <w:sz w:val="24"/>
          <w:lang w:eastAsia="zh-CN"/>
        </w:rPr>
      </w:pPr>
      <w:r>
        <w:rPr>
          <w:rFonts w:hint="default" w:ascii="Times New Roman" w:hAnsi="Times New Roman" w:eastAsia="宋体" w:cs="Times New Roman"/>
          <w:bCs/>
          <w:sz w:val="24"/>
          <w:szCs w:val="30"/>
        </w:rPr>
        <w:t>本单位对上述声明的真实性负责。如有虚假，将依法承担相应责任</w:t>
      </w:r>
      <w:r>
        <w:rPr>
          <w:rFonts w:hint="eastAsia" w:ascii="Times New Roman" w:hAnsi="Times New Roman" w:eastAsia="宋体" w:cs="Times New Roman"/>
          <w:bCs/>
          <w:sz w:val="24"/>
          <w:szCs w:val="30"/>
          <w:lang w:eastAsia="zh-CN"/>
        </w:rPr>
        <w:t>。</w:t>
      </w:r>
    </w:p>
    <w:p>
      <w:pPr>
        <w:spacing w:line="360" w:lineRule="auto"/>
        <w:ind w:firstLine="480" w:firstLineChars="200"/>
        <w:rPr>
          <w:rFonts w:ascii="Times New Roman" w:hAnsi="Times New Roman" w:eastAsia="宋体" w:cs="Times New Roman"/>
          <w:sz w:val="24"/>
        </w:rPr>
      </w:pPr>
    </w:p>
    <w:p>
      <w:pPr>
        <w:spacing w:line="360" w:lineRule="auto"/>
        <w:jc w:val="left"/>
        <w:rPr>
          <w:rFonts w:ascii="宋体" w:hAnsi="Times New Roman" w:eastAsia="宋体" w:cs="Times New Roman"/>
          <w:sz w:val="24"/>
        </w:rPr>
      </w:pPr>
    </w:p>
    <w:p>
      <w:pPr>
        <w:spacing w:line="360" w:lineRule="auto"/>
        <w:jc w:val="left"/>
        <w:rPr>
          <w:rFonts w:ascii="宋体" w:hAnsi="Times New Roman" w:eastAsia="宋体" w:cs="Times New Roman"/>
          <w:sz w:val="24"/>
        </w:rPr>
      </w:pPr>
    </w:p>
    <w:p>
      <w:pPr>
        <w:spacing w:line="360" w:lineRule="auto"/>
        <w:rPr>
          <w:rFonts w:ascii="宋体"/>
          <w:sz w:val="24"/>
        </w:rPr>
      </w:pPr>
      <w:r>
        <w:rPr>
          <w:rFonts w:hint="eastAsia" w:ascii="宋体"/>
          <w:sz w:val="24"/>
        </w:rPr>
        <w:t>供应商：</w:t>
      </w:r>
      <w:r>
        <w:rPr>
          <w:rFonts w:hint="eastAsia" w:ascii="宋体"/>
          <w:sz w:val="24"/>
          <w:u w:val="single"/>
        </w:rPr>
        <w:t xml:space="preserve">                                 </w:t>
      </w:r>
      <w:r>
        <w:rPr>
          <w:rFonts w:hint="eastAsia" w:ascii="宋体"/>
          <w:sz w:val="24"/>
        </w:rPr>
        <w:t>（盖单位公章）</w:t>
      </w:r>
    </w:p>
    <w:p>
      <w:pPr>
        <w:spacing w:line="360" w:lineRule="auto"/>
        <w:rPr>
          <w:rFonts w:ascii="宋体"/>
          <w:sz w:val="24"/>
        </w:rPr>
      </w:pPr>
      <w:r>
        <w:rPr>
          <w:rFonts w:hint="eastAsia" w:ascii="宋体"/>
          <w:sz w:val="24"/>
        </w:rPr>
        <w:t>法定代表人或其委托代理人：</w:t>
      </w:r>
      <w:r>
        <w:rPr>
          <w:rFonts w:hint="eastAsia" w:ascii="宋体"/>
          <w:sz w:val="24"/>
          <w:u w:val="single"/>
        </w:rPr>
        <w:t xml:space="preserve">                  </w:t>
      </w:r>
      <w:r>
        <w:rPr>
          <w:rFonts w:hint="eastAsia" w:ascii="宋体"/>
          <w:sz w:val="24"/>
        </w:rPr>
        <w:t>（签字或盖章）</w:t>
      </w:r>
    </w:p>
    <w:p>
      <w:pPr>
        <w:pStyle w:val="9"/>
        <w:ind w:left="0" w:leftChars="0" w:right="1470"/>
        <w:rPr>
          <w:rFonts w:ascii="Times New Roman" w:hAnsi="Times New Roman" w:eastAsia="宋体" w:cs="Times New Roman"/>
          <w:sz w:val="24"/>
        </w:rPr>
      </w:pPr>
      <w:r>
        <w:rPr>
          <w:rFonts w:hint="eastAsia"/>
          <w:sz w:val="24"/>
        </w:rPr>
        <w:t>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sz w:val="24"/>
        </w:rPr>
        <w:t>日</w:t>
      </w:r>
    </w:p>
    <w:p>
      <w:pPr>
        <w:pStyle w:val="9"/>
        <w:ind w:left="0" w:leftChars="0" w:right="1470"/>
        <w:rPr>
          <w:rFonts w:ascii="Times New Roman" w:hAnsi="Times New Roman" w:eastAsia="宋体" w:cs="Times New Roman"/>
          <w:sz w:val="24"/>
        </w:rPr>
      </w:pPr>
    </w:p>
    <w:p>
      <w:pPr>
        <w:pStyle w:val="9"/>
        <w:ind w:left="0" w:leftChars="0" w:right="1470"/>
        <w:rPr>
          <w:rFonts w:ascii="Times New Roman" w:hAnsi="Times New Roman" w:eastAsia="宋体" w:cs="Times New Roman"/>
          <w:sz w:val="24"/>
        </w:rPr>
      </w:pPr>
    </w:p>
    <w:p>
      <w:pPr>
        <w:pStyle w:val="9"/>
        <w:ind w:left="0" w:leftChars="0" w:right="1470"/>
        <w:rPr>
          <w:rFonts w:hint="default" w:ascii="宋体" w:hAnsi="宋体" w:eastAsia="宋体" w:cs="Times New Roman"/>
          <w:b/>
          <w:color w:val="000000"/>
          <w:kern w:val="2"/>
          <w:sz w:val="24"/>
          <w:szCs w:val="30"/>
          <w:lang w:val="en-US" w:eastAsia="zh-CN" w:bidi="ar-SA"/>
        </w:rPr>
      </w:pPr>
      <w:r>
        <w:rPr>
          <w:rFonts w:hint="default" w:ascii="宋体" w:hAnsi="宋体" w:eastAsia="宋体" w:cs="Times New Roman"/>
          <w:b/>
          <w:color w:val="000000"/>
          <w:kern w:val="2"/>
          <w:sz w:val="24"/>
          <w:szCs w:val="30"/>
          <w:lang w:val="en-US" w:eastAsia="zh-CN" w:bidi="ar-SA"/>
        </w:rPr>
        <w:t>注：符合条件的残疾人福利性单位在参加政府采购活动时，应当</w:t>
      </w:r>
    </w:p>
    <w:p>
      <w:pPr>
        <w:pStyle w:val="9"/>
        <w:ind w:left="0" w:leftChars="0" w:right="1470"/>
        <w:rPr>
          <w:rFonts w:hint="eastAsia" w:ascii="宋体" w:hAnsi="宋体" w:eastAsia="宋体" w:cs="Times New Roman"/>
          <w:b/>
          <w:color w:val="000000"/>
          <w:kern w:val="2"/>
          <w:sz w:val="24"/>
          <w:szCs w:val="30"/>
          <w:lang w:val="en-US" w:eastAsia="zh-CN" w:bidi="ar-SA"/>
        </w:rPr>
      </w:pPr>
      <w:r>
        <w:rPr>
          <w:rFonts w:hint="default" w:ascii="宋体" w:hAnsi="宋体" w:eastAsia="宋体" w:cs="Times New Roman"/>
          <w:b/>
          <w:color w:val="000000"/>
          <w:kern w:val="2"/>
          <w:sz w:val="24"/>
          <w:szCs w:val="30"/>
          <w:lang w:val="en-US" w:eastAsia="zh-CN" w:bidi="ar-SA"/>
        </w:rPr>
        <w:t>按《三部门联合发布关于促进残疾人就业政府采购政策的通知》（财库〔2017〕141号）提供规定的《残疾人福利性单位声明函》，并对声明的真实性负责。</w:t>
      </w:r>
    </w:p>
    <w:p>
      <w:pPr>
        <w:pStyle w:val="9"/>
        <w:ind w:left="0" w:leftChars="0" w:right="1470"/>
        <w:rPr>
          <w:rFonts w:ascii="Times New Roman" w:hAnsi="Times New Roman" w:eastAsia="宋体" w:cs="Times New Roman"/>
          <w:sz w:val="24"/>
        </w:rPr>
      </w:pPr>
    </w:p>
    <w:p>
      <w:pPr>
        <w:pStyle w:val="9"/>
        <w:ind w:left="0" w:leftChars="0" w:right="1470"/>
        <w:rPr>
          <w:rFonts w:ascii="宋体" w:hAnsi="宋体" w:eastAsia="宋体" w:cs="Times New Roman"/>
          <w:b/>
          <w:bCs/>
          <w:sz w:val="24"/>
          <w:szCs w:val="20"/>
        </w:rPr>
        <w:sectPr>
          <w:pgSz w:w="11906" w:h="16838"/>
          <w:pgMar w:top="1440" w:right="1800" w:bottom="1440" w:left="1800" w:header="851" w:footer="992" w:gutter="0"/>
          <w:cols w:space="425" w:num="1"/>
          <w:docGrid w:type="lines" w:linePitch="312" w:charSpace="0"/>
        </w:sectPr>
      </w:pPr>
    </w:p>
    <w:p>
      <w:pPr>
        <w:keepNext/>
        <w:keepLines/>
        <w:widowControl w:val="0"/>
        <w:numPr>
          <w:ilvl w:val="2"/>
          <w:numId w:val="0"/>
        </w:numPr>
        <w:spacing w:line="413" w:lineRule="auto"/>
        <w:jc w:val="both"/>
        <w:outlineLvl w:val="2"/>
        <w:rPr>
          <w:rFonts w:ascii="宋体" w:hAnsi="宋体" w:eastAsia="宋体" w:cs="Times New Roman"/>
          <w:b/>
          <w:bCs/>
          <w:kern w:val="2"/>
          <w:sz w:val="32"/>
          <w:szCs w:val="20"/>
          <w:lang w:val="en-US" w:eastAsia="zh-CN" w:bidi="ar-SA"/>
        </w:rPr>
      </w:pPr>
      <w:bookmarkStart w:id="225" w:name="_Toc1706"/>
      <w:bookmarkStart w:id="226" w:name="_Toc24216"/>
      <w:r>
        <w:rPr>
          <w:rFonts w:ascii="Times New Roman" w:hAnsi="Times New Roman" w:eastAsia="宋体" w:cs="Times New Roman"/>
          <w:b/>
          <w:kern w:val="2"/>
          <w:sz w:val="28"/>
          <w:szCs w:val="28"/>
          <w:lang w:val="en-US" w:eastAsia="zh-CN" w:bidi="ar-SA"/>
        </w:rPr>
        <w:t>4.</w:t>
      </w:r>
      <w:r>
        <w:rPr>
          <w:rFonts w:hint="eastAsia" w:ascii="Times New Roman" w:hAnsi="Times New Roman" w:eastAsia="宋体" w:cs="Times New Roman"/>
          <w:b/>
          <w:kern w:val="2"/>
          <w:sz w:val="28"/>
          <w:szCs w:val="28"/>
          <w:lang w:val="en-US" w:eastAsia="zh-CN" w:bidi="ar-SA"/>
        </w:rPr>
        <w:t>8</w:t>
      </w:r>
      <w:r>
        <w:rPr>
          <w:rFonts w:ascii="Times New Roman" w:hAnsi="Times New Roman" w:eastAsia="宋体" w:cs="Times New Roman"/>
          <w:b/>
          <w:kern w:val="2"/>
          <w:sz w:val="28"/>
          <w:szCs w:val="28"/>
          <w:lang w:val="en-US" w:eastAsia="zh-CN" w:bidi="ar-SA"/>
        </w:rPr>
        <w:t>.3 监狱企业证明文件</w:t>
      </w:r>
      <w:bookmarkEnd w:id="225"/>
      <w:bookmarkEnd w:id="226"/>
    </w:p>
    <w:p>
      <w:pPr>
        <w:pStyle w:val="9"/>
        <w:ind w:left="0" w:leftChars="0" w:right="1470"/>
        <w:jc w:val="center"/>
        <w:rPr>
          <w:rFonts w:ascii="宋体" w:hAnsi="宋体" w:eastAsia="宋体" w:cs="Times New Roman"/>
          <w:b/>
          <w:bCs/>
          <w:sz w:val="24"/>
          <w:szCs w:val="20"/>
        </w:rPr>
      </w:pPr>
      <w:r>
        <w:rPr>
          <w:rFonts w:hint="eastAsia" w:ascii="宋体"/>
          <w:b/>
          <w:sz w:val="28"/>
          <w:szCs w:val="28"/>
        </w:rPr>
        <w:t>监狱企业证明文件</w:t>
      </w:r>
    </w:p>
    <w:p>
      <w:pPr>
        <w:pStyle w:val="9"/>
        <w:ind w:left="0" w:leftChars="0" w:right="1470"/>
        <w:rPr>
          <w:rFonts w:ascii="宋体" w:hAnsi="宋体" w:eastAsia="宋体" w:cs="Times New Roman"/>
          <w:b/>
          <w:bCs/>
          <w:sz w:val="24"/>
          <w:szCs w:val="20"/>
        </w:rPr>
      </w:pPr>
    </w:p>
    <w:p>
      <w:pPr>
        <w:pStyle w:val="2"/>
        <w:rPr>
          <w:rFonts w:hint="eastAsia"/>
        </w:rPr>
      </w:pPr>
      <w:r>
        <w:rPr>
          <w:rFonts w:ascii="Times New Roman" w:hAnsi="Times New Roman" w:eastAsia="宋体" w:cs="Times New Roman"/>
          <w:sz w:val="24"/>
        </w:rPr>
        <w:t>根根据《财政部 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pacing w:line="360" w:lineRule="auto"/>
        <w:rPr>
          <w:rFonts w:hint="eastAsia" w:ascii="宋体"/>
          <w:sz w:val="24"/>
        </w:rPr>
      </w:pPr>
    </w:p>
    <w:p>
      <w:pPr>
        <w:spacing w:line="360" w:lineRule="auto"/>
        <w:rPr>
          <w:rFonts w:hint="eastAsia" w:ascii="宋体"/>
          <w:sz w:val="24"/>
        </w:rPr>
      </w:pPr>
    </w:p>
    <w:p>
      <w:pPr>
        <w:spacing w:line="360" w:lineRule="auto"/>
        <w:rPr>
          <w:rFonts w:ascii="宋体"/>
          <w:sz w:val="24"/>
        </w:rPr>
      </w:pPr>
      <w:r>
        <w:rPr>
          <w:rFonts w:hint="eastAsia" w:ascii="宋体"/>
          <w:sz w:val="24"/>
        </w:rPr>
        <w:t>供应商：</w:t>
      </w:r>
      <w:r>
        <w:rPr>
          <w:rFonts w:hint="eastAsia" w:ascii="宋体"/>
          <w:sz w:val="24"/>
          <w:u w:val="single"/>
        </w:rPr>
        <w:t xml:space="preserve">                                 </w:t>
      </w:r>
      <w:r>
        <w:rPr>
          <w:rFonts w:hint="eastAsia" w:ascii="宋体"/>
          <w:sz w:val="24"/>
        </w:rPr>
        <w:t>（盖单位公章）</w:t>
      </w:r>
    </w:p>
    <w:p>
      <w:pPr>
        <w:spacing w:line="360" w:lineRule="auto"/>
        <w:rPr>
          <w:rFonts w:ascii="宋体"/>
          <w:sz w:val="24"/>
        </w:rPr>
      </w:pPr>
      <w:r>
        <w:rPr>
          <w:rFonts w:hint="eastAsia" w:ascii="宋体"/>
          <w:sz w:val="24"/>
        </w:rPr>
        <w:t>法定代表人或其委托代理人：</w:t>
      </w:r>
      <w:r>
        <w:rPr>
          <w:rFonts w:hint="eastAsia" w:ascii="宋体"/>
          <w:sz w:val="24"/>
          <w:u w:val="single"/>
        </w:rPr>
        <w:t xml:space="preserve">                  </w:t>
      </w:r>
      <w:r>
        <w:rPr>
          <w:rFonts w:hint="eastAsia" w:ascii="宋体"/>
          <w:sz w:val="24"/>
        </w:rPr>
        <w:t>（签字或盖章）</w:t>
      </w:r>
    </w:p>
    <w:p>
      <w:pPr>
        <w:pStyle w:val="2"/>
        <w:ind w:left="0" w:leftChars="0" w:firstLine="0" w:firstLineChars="0"/>
        <w:rPr>
          <w:rFonts w:hint="eastAsia"/>
        </w:rPr>
      </w:pPr>
      <w:r>
        <w:rPr>
          <w:rFonts w:hint="eastAsia" w:ascii="宋体" w:hAnsiTheme="minorHAnsi" w:eastAsiaTheme="minorEastAsia" w:cstheme="minorBidi"/>
          <w:kern w:val="2"/>
          <w:sz w:val="24"/>
          <w:szCs w:val="24"/>
          <w:lang w:val="en-US" w:eastAsia="zh-CN" w:bidi="ar-SA"/>
        </w:rPr>
        <w:t>日期：            年       月       日</w:t>
      </w:r>
    </w:p>
    <w:p>
      <w:pPr>
        <w:pStyle w:val="2"/>
        <w:rPr>
          <w:rFonts w:hint="eastAsia"/>
        </w:rPr>
      </w:pPr>
    </w:p>
    <w:bookmarkEnd w:id="217"/>
    <w:bookmarkEnd w:id="218"/>
    <w:p>
      <w:pPr>
        <w:widowControl w:val="0"/>
        <w:jc w:val="both"/>
        <w:rPr>
          <w:rFonts w:hint="eastAsia" w:ascii="宋体" w:hAnsi="宋体" w:eastAsia="宋体" w:cs="宋体"/>
          <w:kern w:val="0"/>
          <w:sz w:val="24"/>
          <w:szCs w:val="24"/>
          <w:lang w:val="en-US" w:eastAsia="zh-CN" w:bidi="ar-SA"/>
        </w:rPr>
      </w:pPr>
    </w:p>
    <w:p>
      <w:pPr>
        <w:widowControl w:val="0"/>
        <w:jc w:val="both"/>
        <w:rPr>
          <w:rFonts w:hint="eastAsia" w:ascii="宋体" w:hAnsi="宋体" w:eastAsia="宋体" w:cs="宋体"/>
          <w:kern w:val="0"/>
          <w:sz w:val="24"/>
          <w:szCs w:val="24"/>
          <w:lang w:val="en-US" w:eastAsia="zh-CN" w:bidi="ar-SA"/>
        </w:rPr>
        <w:sectPr>
          <w:pgSz w:w="11906" w:h="16838"/>
          <w:pgMar w:top="1440" w:right="1588" w:bottom="1440" w:left="1588" w:header="851" w:footer="992" w:gutter="0"/>
          <w:cols w:space="720" w:num="1"/>
          <w:docGrid w:type="lines" w:linePitch="312" w:charSpace="0"/>
        </w:sectPr>
      </w:pPr>
    </w:p>
    <w:p>
      <w:pPr>
        <w:pStyle w:val="4"/>
        <w:bidi w:val="0"/>
        <w:jc w:val="center"/>
        <w:rPr>
          <w:rFonts w:hint="default" w:ascii="Times New Roman" w:hAnsi="Times New Roman" w:cs="Times New Roman"/>
          <w:lang w:val="en-US" w:eastAsia="zh-CN"/>
        </w:rPr>
      </w:pPr>
      <w:bookmarkStart w:id="227" w:name="_Toc60996695"/>
      <w:bookmarkStart w:id="228" w:name="_Toc15807_WPSOffice_Level2"/>
      <w:bookmarkStart w:id="229" w:name="_Toc8111_WPSOffice_Level1"/>
      <w:bookmarkStart w:id="230" w:name="_Toc6466"/>
      <w:bookmarkStart w:id="231" w:name="_技术规格、参数与要求"/>
      <w:r>
        <w:rPr>
          <w:rFonts w:hint="default" w:ascii="Times New Roman" w:hAnsi="Times New Roman" w:cs="Times New Roman"/>
          <w:lang w:val="en-US" w:eastAsia="zh-CN"/>
        </w:rPr>
        <w:t xml:space="preserve">第五章 </w:t>
      </w:r>
      <w:bookmarkEnd w:id="227"/>
      <w:r>
        <w:rPr>
          <w:rFonts w:hint="default" w:ascii="Times New Roman" w:hAnsi="Times New Roman" w:cs="Times New Roman"/>
          <w:lang w:val="en-US" w:eastAsia="zh-CN"/>
        </w:rPr>
        <w:t xml:space="preserve"> </w:t>
      </w:r>
      <w:bookmarkEnd w:id="228"/>
      <w:bookmarkEnd w:id="229"/>
      <w:r>
        <w:rPr>
          <w:rFonts w:hint="default" w:ascii="Times New Roman" w:hAnsi="Times New Roman" w:cs="Times New Roman"/>
          <w:lang w:val="en-US" w:eastAsia="zh-CN"/>
        </w:rPr>
        <w:t>采购需求</w:t>
      </w:r>
      <w:bookmarkEnd w:id="230"/>
    </w:p>
    <w:bookmarkEnd w:id="231"/>
    <w:p>
      <w:pPr>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为做好我校人民武装部试点建设工作，现需采购人民武装部建设物资一批</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详细清单及要求如下。</w:t>
      </w:r>
    </w:p>
    <w:p>
      <w:pPr>
        <w:pStyle w:val="5"/>
        <w:bidi w:val="0"/>
        <w:rPr>
          <w:rFonts w:hint="default" w:ascii="Times New Roman" w:hAnsi="Times New Roman" w:eastAsia="宋体" w:cs="Times New Roman"/>
          <w:lang w:val="en-US" w:eastAsia="zh-CN"/>
        </w:rPr>
      </w:pPr>
      <w:bookmarkStart w:id="232" w:name="_Toc1156"/>
      <w:r>
        <w:rPr>
          <w:rFonts w:hint="default" w:ascii="Times New Roman" w:hAnsi="Times New Roman" w:eastAsia="宋体" w:cs="Times New Roman"/>
          <w:lang w:val="en-US" w:eastAsia="zh-CN"/>
        </w:rPr>
        <w:t>5.1 计划采购清单</w:t>
      </w:r>
      <w:bookmarkEnd w:id="232"/>
    </w:p>
    <w:p>
      <w:pPr>
        <w:jc w:val="center"/>
        <w:rPr>
          <w:rFonts w:hint="default"/>
          <w:lang w:val="en-US" w:eastAsia="zh-CN"/>
        </w:rPr>
      </w:pPr>
      <w:r>
        <w:rPr>
          <w:rFonts w:hint="eastAsia" w:ascii="Times New Roman" w:hAnsi="Times New Roman" w:eastAsia="宋体" w:cs="Times New Roman"/>
          <w:sz w:val="24"/>
          <w:szCs w:val="24"/>
          <w:lang w:val="en-US" w:eastAsia="zh-CN"/>
        </w:rPr>
        <w:t>2022年楚雄医专采购人民武装部建设物资清单</w:t>
      </w:r>
    </w:p>
    <w:tbl>
      <w:tblPr>
        <w:tblStyle w:val="16"/>
        <w:tblpPr w:leftFromText="180" w:rightFromText="180" w:vertAnchor="text" w:horzAnchor="page" w:tblpXSpec="center" w:tblpY="453"/>
        <w:tblOverlap w:val="never"/>
        <w:tblW w:w="11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530"/>
        <w:gridCol w:w="5292"/>
        <w:gridCol w:w="11"/>
        <w:gridCol w:w="890"/>
        <w:gridCol w:w="1354"/>
        <w:gridCol w:w="1346"/>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序号</w:t>
            </w:r>
          </w:p>
        </w:tc>
        <w:tc>
          <w:tcPr>
            <w:tcW w:w="1530" w:type="dxa"/>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名称</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规格参数</w:t>
            </w:r>
          </w:p>
        </w:tc>
        <w:tc>
          <w:tcPr>
            <w:tcW w:w="890" w:type="dxa"/>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数量</w:t>
            </w:r>
          </w:p>
        </w:tc>
        <w:tc>
          <w:tcPr>
            <w:tcW w:w="1354" w:type="dxa"/>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单位</w:t>
            </w:r>
          </w:p>
        </w:tc>
        <w:tc>
          <w:tcPr>
            <w:tcW w:w="1354"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3" w:hRule="atLeast"/>
          <w:jc w:val="center"/>
        </w:trPr>
        <w:tc>
          <w:tcPr>
            <w:tcW w:w="608"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枪支架</w:t>
            </w:r>
          </w:p>
        </w:tc>
        <w:tc>
          <w:tcPr>
            <w:tcW w:w="5292" w:type="dxa"/>
            <w:vAlign w:val="center"/>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规格:高750mm长1100mm宽480mm,材质:木制,承重:100-200kg</w:t>
            </w:r>
          </w:p>
        </w:tc>
        <w:tc>
          <w:tcPr>
            <w:tcW w:w="901" w:type="dxa"/>
            <w:gridSpan w:val="2"/>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套</w:t>
            </w:r>
          </w:p>
        </w:tc>
        <w:tc>
          <w:tcPr>
            <w:tcW w:w="1346" w:type="dxa"/>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木制定做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95-1式塑钢枪</w:t>
            </w:r>
            <w:r>
              <w:rPr>
                <w:rFonts w:hint="eastAsia" w:ascii="Times New Roman" w:hAnsi="Times New Roman" w:eastAsia="宋体" w:cs="Times New Roman"/>
                <w:sz w:val="21"/>
                <w:szCs w:val="21"/>
                <w:lang w:val="en-US" w:eastAsia="zh-CN"/>
              </w:rPr>
              <w:t>（训练道具）</w:t>
            </w:r>
          </w:p>
        </w:tc>
        <w:tc>
          <w:tcPr>
            <w:tcW w:w="5303" w:type="dxa"/>
            <w:gridSpan w:val="2"/>
            <w:vAlign w:val="center"/>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规格:1:1模型道具,材质:塑钢,颜色:黑色,可否激发:不可激发,组成部分:枪身,弹夹,背带</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支</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56式木制抢</w:t>
            </w:r>
            <w:r>
              <w:rPr>
                <w:rFonts w:hint="eastAsia" w:ascii="Times New Roman" w:hAnsi="Times New Roman" w:eastAsia="宋体" w:cs="Times New Roman"/>
                <w:sz w:val="21"/>
                <w:szCs w:val="21"/>
                <w:lang w:val="en-US" w:eastAsia="zh-CN"/>
              </w:rPr>
              <w:t>（训练道具）</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规格:1:1模型道具,材质:木制,颜色:棕色,可否激发:不可激发,组成部分:枪身,刺刀,背带</w:t>
            </w:r>
            <w:r>
              <w:rPr>
                <w:rFonts w:hint="eastAsia" w:ascii="Times New Roman" w:hAnsi="Times New Roman" w:eastAsia="宋体" w:cs="Times New Roman"/>
                <w:sz w:val="21"/>
                <w:szCs w:val="21"/>
                <w:lang w:val="en-US" w:eastAsia="zh-CN"/>
              </w:rPr>
              <w:t>。</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支</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塑料匕首</w:t>
            </w:r>
          </w:p>
          <w:p>
            <w:pPr>
              <w:pStyle w:val="2"/>
              <w:ind w:left="0" w:leftChars="0" w:firstLine="0" w:firstLineChars="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（训练道具）</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规格:1:1模型道具,材质:塑料,颜色:黑色,</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300</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支</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模拟射击系统</w:t>
            </w:r>
            <w:r>
              <w:rPr>
                <w:rFonts w:hint="eastAsia" w:ascii="Times New Roman" w:hAnsi="Times New Roman" w:eastAsia="宋体" w:cs="Times New Roman"/>
                <w:sz w:val="21"/>
                <w:szCs w:val="21"/>
                <w:lang w:val="en-US" w:eastAsia="zh-CN"/>
              </w:rPr>
              <w:t>（训练道具）</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产品组成:电子靶箱,95式发射器,支架,充电器,遥控器,参数:电子靶介绍,尺寸:54cm*54cm*11.5cm,电量:2000MA锂电池,输入电压:DC-12V,温度:-25至50度,接收范围5-10环,95式发射器介绍:重量:3.5kg,材料:塑钢,射击距离150米,动力后坐力实感,0.5cm精确光点0误差,中文语音报环,室内外通用,抗太阳干扰,支架参数,不锈钢材质,高低可调节</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套</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迷彩便携式急救箱</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规格:长36cm宽19cm高20cm,箱体材质:铝合金,颜色迷彩色,内置物品:上肢骨折固定夹板1块，下肢骨折固定夹板一块，无纺布胶带1卷,标准口罩1个,酒精片20片,碘伏片10片,急救毯1个,剪刀1把,医用纺布片1片,止血带1卷,PBT绷带3卷,急救手册1本,医用手套1双,冰袋1个,棉签350个,人工呼吸膜1个,别针10个</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个</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迷彩服（含帽子、臂章、肩章、领章）</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迷彩服,(衣服和裤子)材质:棉纶(含65%棉,35%纶,尺码:155-160-165-170-175-180-185-190(适合体重40kg至120kg)</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125</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套</w:t>
            </w:r>
          </w:p>
        </w:tc>
        <w:tc>
          <w:tcPr>
            <w:tcW w:w="1354" w:type="dxa"/>
            <w:gridSpan w:val="2"/>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详见后文</w:t>
            </w:r>
            <w:r>
              <w:rPr>
                <w:rFonts w:hint="default" w:ascii="Times New Roman" w:hAnsi="Times New Roman" w:eastAsia="宋体" w:cs="Times New Roman"/>
                <w:sz w:val="21"/>
                <w:szCs w:val="21"/>
                <w:lang w:val="en-US" w:eastAsia="zh-CN"/>
              </w:rPr>
              <w:t>尺码明细</w:t>
            </w:r>
            <w:r>
              <w:rPr>
                <w:rFonts w:hint="eastAsia" w:ascii="Times New Roman" w:hAnsi="Times New Roman" w:eastAsia="宋体" w:cs="Times New Roman"/>
                <w:sz w:val="21"/>
                <w:szCs w:val="21"/>
                <w:lang w:val="en-US"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外腰带</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材质:帆布,尺寸:可调节,</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125</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条</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作训鞋</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材质:混合材质,闭合方式:系带,尺码:34 35 36 37 38 39 40 41 42 43 44 45 46 ,颜色:迷彩色,</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125</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双</w:t>
            </w:r>
          </w:p>
        </w:tc>
        <w:tc>
          <w:tcPr>
            <w:tcW w:w="1354" w:type="dxa"/>
            <w:gridSpan w:val="2"/>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详见后文</w:t>
            </w:r>
            <w:r>
              <w:rPr>
                <w:rFonts w:hint="default" w:ascii="Times New Roman" w:hAnsi="Times New Roman" w:eastAsia="宋体" w:cs="Times New Roman"/>
                <w:sz w:val="21"/>
                <w:szCs w:val="21"/>
                <w:lang w:val="en-US" w:eastAsia="zh-CN"/>
              </w:rPr>
              <w:t>尺码明细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迷彩钢盔（卫生员）</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款式:包头式防爆头盔,重量:1.5kg,厚度8.1mm材质:头盔材质玻璃钢,内衬材质头层皮,外布罩</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顶</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陆军军用班排帐篷</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规格:4.5米X6米=27平方,篷布材质,防水防晒帆布,支架:钢管,材质:钢,固定钢钉,固定绳,篷布设计有门窗</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顶</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陆军迷彩布</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规格:宽度1.5米,材质:棉纶(含65%棉,35%纶)颜色:迷彩色</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米</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烟雾弹</w:t>
            </w:r>
          </w:p>
          <w:p>
            <w:pPr>
              <w:pStyle w:val="2"/>
              <w:ind w:left="0" w:leftChars="0" w:firstLine="0" w:firstLineChars="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（训练道具）</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手投掷式烟雾道具,颜色:可选</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个</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军用指北针</w:t>
            </w:r>
            <w:r>
              <w:rPr>
                <w:rFonts w:hint="eastAsia" w:ascii="Times New Roman" w:hAnsi="Times New Roman" w:eastAsia="宋体" w:cs="Times New Roman"/>
                <w:sz w:val="21"/>
                <w:szCs w:val="21"/>
                <w:lang w:val="en-US" w:eastAsia="zh-CN"/>
              </w:rPr>
              <w:t>（训练道具）</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材质:钢,尺寸:85mm/65mm显示方式:指针式,防水,带夜光显示,颜色:军绿色</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个</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军用秒表</w:t>
            </w:r>
          </w:p>
          <w:p>
            <w:pPr>
              <w:pStyle w:val="2"/>
              <w:ind w:left="0" w:leftChars="0" w:firstLine="0" w:firstLineChars="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（训练道具）</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pc894秒表,重量:93g,显示类型:电子显示器。</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块</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军用担架</w:t>
            </w:r>
          </w:p>
          <w:p>
            <w:pPr>
              <w:pStyle w:val="2"/>
              <w:ind w:left="0" w:leftChars="0" w:firstLine="0" w:firstLineChars="0"/>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（训练道具）</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担架规格尺寸:长2.1米,宽0.53米,高0.12米,材质:加厚不锈钢,和加厚牛津布,可折叠,担架包装尺寸:长0.63米,宽0.27米,高0.15米,承重:150kg</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个</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军用三角障碍</w:t>
            </w:r>
            <w:r>
              <w:rPr>
                <w:rFonts w:hint="eastAsia" w:ascii="Times New Roman" w:hAnsi="Times New Roman" w:eastAsia="宋体" w:cs="Times New Roman"/>
                <w:sz w:val="21"/>
                <w:szCs w:val="21"/>
                <w:lang w:val="en-US" w:eastAsia="zh-CN"/>
              </w:rPr>
              <w:t>（训练道具）</w:t>
            </w:r>
          </w:p>
        </w:tc>
        <w:tc>
          <w:tcPr>
            <w:tcW w:w="5303" w:type="dxa"/>
            <w:gridSpan w:val="2"/>
          </w:tcPr>
          <w:p>
            <w:pPr>
              <w:pStyle w:val="2"/>
              <w:jc w:val="center"/>
              <w:rPr>
                <w:rFonts w:hint="default" w:ascii="Times New Roman" w:hAnsi="Times New Roman" w:eastAsia="宋体" w:cs="Times New Roman"/>
                <w:sz w:val="21"/>
                <w:szCs w:val="21"/>
                <w:lang w:val="en-US" w:eastAsia="zh-CN"/>
              </w:rPr>
            </w:pP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箱</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w:t>
            </w:r>
          </w:p>
        </w:tc>
        <w:tc>
          <w:tcPr>
            <w:tcW w:w="1530" w:type="dxa"/>
            <w:vAlign w:val="center"/>
          </w:tcPr>
          <w:p>
            <w:pPr>
              <w:pStyle w:val="2"/>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武器模型</w:t>
            </w:r>
          </w:p>
        </w:tc>
        <w:tc>
          <w:tcPr>
            <w:tcW w:w="5303" w:type="dxa"/>
            <w:gridSpan w:val="2"/>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产品:模型。金属材质，武器,飞机,坦克等</w:t>
            </w:r>
          </w:p>
        </w:tc>
        <w:tc>
          <w:tcPr>
            <w:tcW w:w="890" w:type="dxa"/>
            <w:vAlign w:val="center"/>
          </w:tcPr>
          <w:p>
            <w:pPr>
              <w:pStyle w:val="2"/>
              <w:ind w:left="0" w:leftChars="0"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c>
          <w:tcPr>
            <w:tcW w:w="1354" w:type="dxa"/>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个</w:t>
            </w:r>
          </w:p>
        </w:tc>
        <w:tc>
          <w:tcPr>
            <w:tcW w:w="1354" w:type="dxa"/>
            <w:gridSpan w:val="2"/>
          </w:tcPr>
          <w:p>
            <w:pPr>
              <w:pStyle w:val="2"/>
              <w:jc w:val="center"/>
              <w:rPr>
                <w:rFonts w:hint="default" w:ascii="Times New Roman" w:hAnsi="Times New Roman" w:eastAsia="宋体" w:cs="Times New Roman"/>
                <w:sz w:val="21"/>
                <w:szCs w:val="21"/>
                <w:lang w:val="en-US" w:eastAsia="zh-CN"/>
              </w:rPr>
            </w:pPr>
          </w:p>
        </w:tc>
      </w:tr>
    </w:tbl>
    <w:p>
      <w:pPr>
        <w:spacing w:line="460" w:lineRule="exact"/>
        <w:ind w:firstLine="480" w:firstLineChars="200"/>
        <w:jc w:val="center"/>
        <w:rPr>
          <w:rFonts w:hint="eastAsia" w:ascii="Times New Roman" w:hAnsi="Times New Roman" w:eastAsia="宋体" w:cs="Times New Roman"/>
          <w:sz w:val="24"/>
          <w:szCs w:val="24"/>
          <w:lang w:val="en-US" w:eastAsia="zh-CN"/>
        </w:rPr>
      </w:pPr>
    </w:p>
    <w:p>
      <w:pPr>
        <w:pStyle w:val="2"/>
        <w:rPr>
          <w:rFonts w:hint="eastAsia" w:ascii="Times New Roman" w:hAnsi="Times New Roman" w:eastAsia="宋体" w:cs="Times New Roman"/>
          <w:sz w:val="24"/>
          <w:szCs w:val="24"/>
          <w:lang w:val="en-US" w:eastAsia="zh-CN"/>
        </w:rPr>
        <w:sectPr>
          <w:pgSz w:w="11906" w:h="16838"/>
          <w:pgMar w:top="1440" w:right="1800" w:bottom="1440" w:left="1800" w:header="851" w:footer="992" w:gutter="0"/>
          <w:cols w:space="425" w:num="1"/>
          <w:docGrid w:type="lines" w:linePitch="312" w:charSpace="0"/>
        </w:sectPr>
      </w:pPr>
    </w:p>
    <w:p>
      <w:pPr>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陆军夏作训服尺码明细表</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款式：07式陆军夏作训服（套装）</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单位：套（帽子、体能服、外衣、裤子、外腰带、作训鞋）</w:t>
      </w:r>
    </w:p>
    <w:p>
      <w:pPr>
        <w:jc w:val="left"/>
        <w:rPr>
          <w:rFonts w:hint="eastAsia" w:ascii="宋体" w:hAnsi="宋体" w:eastAsia="宋体" w:cs="宋体"/>
          <w:b w:val="0"/>
          <w:bCs w:val="0"/>
          <w:sz w:val="28"/>
          <w:szCs w:val="36"/>
          <w:lang w:val="en-US" w:eastAsia="zh-CN"/>
        </w:rPr>
      </w:pPr>
      <w:r>
        <w:rPr>
          <w:rFonts w:hint="eastAsia" w:ascii="宋体" w:hAnsi="宋体" w:eastAsia="宋体" w:cs="宋体"/>
          <w:b w:val="0"/>
          <w:bCs w:val="0"/>
          <w:sz w:val="24"/>
          <w:szCs w:val="24"/>
          <w:lang w:val="en-US" w:eastAsia="zh-CN"/>
        </w:rPr>
        <w:t>数量：125/套</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243"/>
        <w:gridCol w:w="1548"/>
        <w:gridCol w:w="1284"/>
        <w:gridCol w:w="1500"/>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9" w:type="dxa"/>
            <w:gridSpan w:val="2"/>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衣服尺码</w:t>
            </w:r>
          </w:p>
        </w:tc>
        <w:tc>
          <w:tcPr>
            <w:tcW w:w="2832" w:type="dxa"/>
            <w:gridSpan w:val="2"/>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帽子尺码</w:t>
            </w:r>
          </w:p>
        </w:tc>
        <w:tc>
          <w:tcPr>
            <w:tcW w:w="2971" w:type="dxa"/>
            <w:gridSpan w:val="2"/>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鞋子尺码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尺码</w:t>
            </w:r>
          </w:p>
        </w:tc>
        <w:tc>
          <w:tcPr>
            <w:tcW w:w="1243"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数量</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尺码</w:t>
            </w: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数量</w:t>
            </w: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尺码</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160/80-84</w:t>
            </w:r>
          </w:p>
        </w:tc>
        <w:tc>
          <w:tcPr>
            <w:tcW w:w="1243"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4</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55</w:t>
            </w: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15</w:t>
            </w: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35</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476"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lang w:val="en-US" w:eastAsia="zh-CN"/>
              </w:rPr>
              <w:t>160/84-88</w:t>
            </w:r>
          </w:p>
        </w:tc>
        <w:tc>
          <w:tcPr>
            <w:tcW w:w="1243"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8</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56</w:t>
            </w: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37</w:t>
            </w: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36</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lang w:val="en-US" w:eastAsia="zh-CN"/>
              </w:rPr>
              <w:t>165/84-88</w:t>
            </w:r>
          </w:p>
        </w:tc>
        <w:tc>
          <w:tcPr>
            <w:tcW w:w="1243"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44</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57</w:t>
            </w: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37</w:t>
            </w: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37</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lang w:val="en-US" w:eastAsia="zh-CN"/>
              </w:rPr>
              <w:t>165/92-96</w:t>
            </w:r>
          </w:p>
        </w:tc>
        <w:tc>
          <w:tcPr>
            <w:tcW w:w="1243"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8</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58</w:t>
            </w: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20</w:t>
            </w: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38</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170/84-88</w:t>
            </w:r>
          </w:p>
        </w:tc>
        <w:tc>
          <w:tcPr>
            <w:tcW w:w="1243" w:type="dxa"/>
          </w:tcPr>
          <w:p>
            <w:pPr>
              <w:jc w:val="both"/>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 xml:space="preserve">   10</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59</w:t>
            </w: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8</w:t>
            </w: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39</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lang w:val="en-US" w:eastAsia="zh-CN"/>
              </w:rPr>
              <w:t>170/92-96</w:t>
            </w:r>
          </w:p>
        </w:tc>
        <w:tc>
          <w:tcPr>
            <w:tcW w:w="1243"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14</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60</w:t>
            </w: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8</w:t>
            </w: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40</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476"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lang w:val="en-US" w:eastAsia="zh-CN"/>
              </w:rPr>
              <w:t>175/84-88</w:t>
            </w:r>
          </w:p>
        </w:tc>
        <w:tc>
          <w:tcPr>
            <w:tcW w:w="1243"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41</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175/92-96</w:t>
            </w:r>
          </w:p>
        </w:tc>
        <w:tc>
          <w:tcPr>
            <w:tcW w:w="1243"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8</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42</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180/84-88</w:t>
            </w:r>
          </w:p>
        </w:tc>
        <w:tc>
          <w:tcPr>
            <w:tcW w:w="1243"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9</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43</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180/92-96</w:t>
            </w:r>
          </w:p>
        </w:tc>
        <w:tc>
          <w:tcPr>
            <w:tcW w:w="1243"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6</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44</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180/100</w:t>
            </w:r>
          </w:p>
        </w:tc>
        <w:tc>
          <w:tcPr>
            <w:tcW w:w="1243"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4</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45</w:t>
            </w: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top"/>
          </w:tcPr>
          <w:p>
            <w:pPr>
              <w:jc w:val="center"/>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1"/>
                <w:szCs w:val="21"/>
                <w:lang w:val="en-US" w:eastAsia="zh-CN"/>
              </w:rPr>
              <w:t>185/92-96</w:t>
            </w:r>
          </w:p>
        </w:tc>
        <w:tc>
          <w:tcPr>
            <w:tcW w:w="1243" w:type="dxa"/>
            <w:vAlign w:val="top"/>
          </w:tcPr>
          <w:p>
            <w:pPr>
              <w:jc w:val="center"/>
              <w:rPr>
                <w:rFonts w:hint="default" w:ascii="Times New Roman" w:hAnsi="Times New Roman" w:eastAsia="宋体" w:cs="Times New Roman"/>
                <w:b w:val="0"/>
                <w:bCs w:val="0"/>
                <w:kern w:val="2"/>
                <w:sz w:val="21"/>
                <w:szCs w:val="21"/>
                <w:vertAlign w:val="baseline"/>
                <w:lang w:val="en-US" w:eastAsia="zh-CN" w:bidi="ar-SA"/>
              </w:rPr>
            </w:pPr>
            <w:r>
              <w:rPr>
                <w:rFonts w:hint="default" w:ascii="Times New Roman" w:hAnsi="Times New Roman" w:eastAsia="宋体" w:cs="Times New Roman"/>
                <w:b w:val="0"/>
                <w:bCs w:val="0"/>
                <w:kern w:val="2"/>
                <w:sz w:val="21"/>
                <w:szCs w:val="21"/>
                <w:vertAlign w:val="baseline"/>
                <w:lang w:val="en-US" w:eastAsia="zh-CN" w:bidi="ar-SA"/>
              </w:rPr>
              <w:t>7</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top"/>
          </w:tcPr>
          <w:p>
            <w:pPr>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合  计</w:t>
            </w:r>
          </w:p>
        </w:tc>
        <w:tc>
          <w:tcPr>
            <w:tcW w:w="1243" w:type="dxa"/>
            <w:vAlign w:val="top"/>
          </w:tcPr>
          <w:p>
            <w:pPr>
              <w:jc w:val="center"/>
              <w:rPr>
                <w:rFonts w:hint="default" w:ascii="Times New Roman" w:hAnsi="Times New Roman" w:eastAsia="宋体" w:cs="Times New Roman"/>
                <w:b w:val="0"/>
                <w:bCs w:val="0"/>
                <w:kern w:val="2"/>
                <w:sz w:val="21"/>
                <w:szCs w:val="21"/>
                <w:vertAlign w:val="baseline"/>
                <w:lang w:val="en-US" w:eastAsia="zh-CN" w:bidi="ar-SA"/>
              </w:rPr>
            </w:pPr>
            <w:r>
              <w:rPr>
                <w:rFonts w:hint="default" w:ascii="Times New Roman" w:hAnsi="Times New Roman" w:eastAsia="宋体" w:cs="Times New Roman"/>
                <w:b w:val="0"/>
                <w:bCs w:val="0"/>
                <w:kern w:val="2"/>
                <w:sz w:val="21"/>
                <w:szCs w:val="21"/>
                <w:vertAlign w:val="baseline"/>
                <w:lang w:val="en-US" w:eastAsia="zh-CN" w:bidi="ar-SA"/>
              </w:rPr>
              <w:t>125</w:t>
            </w:r>
          </w:p>
        </w:tc>
        <w:tc>
          <w:tcPr>
            <w:tcW w:w="1548" w:type="dxa"/>
          </w:tcPr>
          <w:p>
            <w:pPr>
              <w:jc w:val="center"/>
              <w:rPr>
                <w:rFonts w:hint="default" w:ascii="Times New Roman" w:hAnsi="Times New Roman" w:eastAsia="宋体" w:cs="Times New Roman"/>
                <w:b w:val="0"/>
                <w:bCs w:val="0"/>
                <w:sz w:val="21"/>
                <w:szCs w:val="21"/>
                <w:vertAlign w:val="baseline"/>
                <w:lang w:val="en-US" w:eastAsia="zh-CN"/>
              </w:rPr>
            </w:pPr>
          </w:p>
        </w:tc>
        <w:tc>
          <w:tcPr>
            <w:tcW w:w="1284"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125</w:t>
            </w:r>
          </w:p>
        </w:tc>
        <w:tc>
          <w:tcPr>
            <w:tcW w:w="1500" w:type="dxa"/>
          </w:tcPr>
          <w:p>
            <w:pPr>
              <w:jc w:val="center"/>
              <w:rPr>
                <w:rFonts w:hint="default" w:ascii="Times New Roman" w:hAnsi="Times New Roman" w:eastAsia="宋体" w:cs="Times New Roman"/>
                <w:b w:val="0"/>
                <w:bCs w:val="0"/>
                <w:sz w:val="21"/>
                <w:szCs w:val="21"/>
                <w:vertAlign w:val="baseline"/>
                <w:lang w:val="en-US" w:eastAsia="zh-CN"/>
              </w:rPr>
            </w:pPr>
          </w:p>
        </w:tc>
        <w:tc>
          <w:tcPr>
            <w:tcW w:w="1471" w:type="dxa"/>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125</w:t>
            </w:r>
          </w:p>
        </w:tc>
      </w:tr>
    </w:tbl>
    <w:p>
      <w:pPr>
        <w:pStyle w:val="5"/>
        <w:bidi w:val="0"/>
        <w:rPr>
          <w:rFonts w:hint="default" w:ascii="Times New Roman" w:hAnsi="Times New Roman" w:eastAsia="宋体" w:cs="Times New Roman"/>
          <w:b w:val="0"/>
          <w:bCs/>
          <w:kern w:val="0"/>
          <w:szCs w:val="24"/>
          <w:lang w:val="en-US" w:eastAsia="zh-CN" w:bidi="ar-SA"/>
        </w:rPr>
      </w:pPr>
      <w:bookmarkStart w:id="233" w:name="_Toc24524"/>
      <w:r>
        <w:rPr>
          <w:rFonts w:hint="default" w:ascii="Times New Roman" w:hAnsi="Times New Roman" w:eastAsia="宋体" w:cs="Times New Roman"/>
          <w:lang w:val="en-US" w:eastAsia="zh-CN"/>
        </w:rPr>
        <w:t>5.</w:t>
      </w:r>
      <w:r>
        <w:rPr>
          <w:rFonts w:hint="eastAsia" w:ascii="Times New Roman" w:hAnsi="Times New Roman" w:eastAsia="宋体" w:cs="Times New Roman"/>
          <w:lang w:val="en-US" w:eastAsia="zh-CN"/>
        </w:rPr>
        <w:t>2</w:t>
      </w:r>
      <w:r>
        <w:rPr>
          <w:rFonts w:hint="default" w:ascii="Times New Roman" w:hAnsi="Times New Roman" w:eastAsia="宋体" w:cs="Times New Roman"/>
          <w:lang w:val="en-US" w:eastAsia="zh-CN"/>
        </w:rPr>
        <w:t xml:space="preserve"> 交货要求</w:t>
      </w:r>
      <w:bookmarkEnd w:id="233"/>
    </w:p>
    <w:p>
      <w:pPr>
        <w:widowControl/>
        <w:spacing w:before="156" w:beforeAutospacing="0" w:after="100" w:afterAutospacing="1" w:line="38" w:lineRule="atLeast"/>
        <w:ind w:firstLine="480" w:firstLineChars="200"/>
        <w:jc w:val="left"/>
        <w:rPr>
          <w:rFonts w:hint="eastAsia" w:ascii="Times New Roman" w:hAnsi="Times New Roman" w:eastAsia="宋体" w:cs="Times New Roman"/>
          <w:sz w:val="24"/>
          <w:szCs w:val="24"/>
          <w:highlight w:val="yellow"/>
          <w:lang w:val="en-US" w:eastAsia="zh-CN"/>
        </w:rPr>
      </w:pPr>
      <w:bookmarkStart w:id="234" w:name="_Toc14815_WPSOffice_Level2"/>
      <w:bookmarkStart w:id="235" w:name="_Toc736_WPSOffice_Level3"/>
      <w:r>
        <w:rPr>
          <w:rFonts w:hint="eastAsia" w:ascii="Times New Roman" w:hAnsi="Times New Roman" w:eastAsia="宋体" w:cs="Times New Roman"/>
          <w:sz w:val="24"/>
          <w:szCs w:val="24"/>
          <w:highlight w:val="none"/>
          <w:lang w:eastAsia="zh-CN"/>
        </w:rPr>
        <w:t>供货时间为合同签订后</w:t>
      </w:r>
      <w:r>
        <w:rPr>
          <w:rFonts w:hint="eastAsia" w:ascii="Times New Roman" w:hAnsi="Times New Roman" w:eastAsia="宋体" w:cs="Times New Roman"/>
          <w:sz w:val="24"/>
          <w:szCs w:val="24"/>
          <w:highlight w:val="none"/>
          <w:lang w:val="en-US" w:eastAsia="zh-CN"/>
        </w:rPr>
        <w:t>3个日历天内。</w:t>
      </w:r>
    </w:p>
    <w:p>
      <w:pPr>
        <w:pStyle w:val="5"/>
        <w:bidi w:val="0"/>
        <w:rPr>
          <w:rFonts w:hint="default" w:ascii="Times New Roman" w:hAnsi="Times New Roman" w:eastAsia="宋体" w:cs="Times New Roman"/>
          <w:b w:val="0"/>
          <w:bCs w:val="0"/>
          <w:kern w:val="2"/>
          <w:szCs w:val="24"/>
          <w:lang w:val="en-US" w:eastAsia="zh-CN" w:bidi="ar-SA"/>
        </w:rPr>
      </w:pPr>
      <w:bookmarkStart w:id="236" w:name="_Toc9276"/>
      <w:r>
        <w:rPr>
          <w:rFonts w:hint="default" w:ascii="Times New Roman" w:hAnsi="Times New Roman" w:eastAsia="宋体" w:cs="Times New Roman"/>
          <w:lang w:val="en-US" w:eastAsia="zh-CN"/>
        </w:rPr>
        <w:t>5.</w:t>
      </w:r>
      <w:r>
        <w:rPr>
          <w:rFonts w:hint="eastAsia" w:ascii="Times New Roman" w:hAnsi="Times New Roman" w:eastAsia="宋体" w:cs="Times New Roman"/>
          <w:lang w:val="en-US" w:eastAsia="zh-CN"/>
        </w:rPr>
        <w:t>3</w:t>
      </w:r>
      <w:r>
        <w:rPr>
          <w:rFonts w:hint="default" w:ascii="Times New Roman" w:hAnsi="Times New Roman" w:eastAsia="宋体" w:cs="Times New Roman"/>
          <w:lang w:val="en-US" w:eastAsia="zh-CN"/>
        </w:rPr>
        <w:t xml:space="preserve"> 验收标准和方法</w:t>
      </w:r>
      <w:bookmarkEnd w:id="234"/>
      <w:bookmarkEnd w:id="235"/>
      <w:bookmarkEnd w:id="236"/>
    </w:p>
    <w:p>
      <w:pPr>
        <w:adjustRightInd w:val="0"/>
        <w:snapToGrid w:val="0"/>
        <w:spacing w:before="120" w:beforeLines="50"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所供产品的规格、数量符合</w:t>
      </w:r>
      <w:r>
        <w:rPr>
          <w:rFonts w:hint="default" w:ascii="Times New Roman" w:hAnsi="Times New Roman" w:eastAsia="宋体" w:cs="Times New Roman"/>
          <w:sz w:val="24"/>
          <w:lang w:val="en-US" w:eastAsia="zh-CN"/>
        </w:rPr>
        <w:t>采购</w:t>
      </w:r>
      <w:r>
        <w:rPr>
          <w:rFonts w:hint="default" w:ascii="Times New Roman" w:hAnsi="Times New Roman" w:eastAsia="宋体" w:cs="Times New Roman"/>
          <w:sz w:val="24"/>
        </w:rPr>
        <w:t>文件供应商投标承诺及采购合同约定的要求。</w:t>
      </w:r>
    </w:p>
    <w:p>
      <w:pPr>
        <w:adjustRightInd w:val="0"/>
        <w:snapToGrid w:val="0"/>
        <w:spacing w:before="120" w:beforeLines="50"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要求货物为原制造商制造的全新产品，整机无污染，无侵权行为、表面无划损、无任何缺陷隐患，在中国境内可依常规安全合法使用。</w:t>
      </w:r>
      <w:bookmarkStart w:id="237" w:name="_Toc25325_WPSOffice_Level1"/>
      <w:bookmarkStart w:id="238" w:name="_Toc17377_WPSOffice_Level2"/>
      <w:bookmarkStart w:id="239" w:name="_Toc60996698"/>
      <w:bookmarkStart w:id="240" w:name="_第七章____评标办法（综合评分法）"/>
    </w:p>
    <w:p>
      <w:pPr>
        <w:adjustRightInd w:val="0"/>
        <w:snapToGrid w:val="0"/>
        <w:spacing w:beforeLines="50"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eastAsia" w:ascii="Times New Roman" w:hAnsi="Times New Roman" w:eastAsia="宋体" w:cs="Times New Roman"/>
          <w:sz w:val="24"/>
          <w:lang w:val="en-US" w:eastAsia="zh-CN"/>
        </w:rPr>
        <w:t>3</w:t>
      </w:r>
      <w:r>
        <w:rPr>
          <w:rFonts w:hint="default" w:ascii="Times New Roman" w:hAnsi="Times New Roman" w:eastAsia="宋体" w:cs="Times New Roman"/>
          <w:sz w:val="24"/>
        </w:rPr>
        <w:t>）采购人组成验收小组按国家有关规定、规范进行验收，必要时邀请相关的专业人员或机构参与验收。</w:t>
      </w:r>
    </w:p>
    <w:p>
      <w:pPr>
        <w:adjustRightInd w:val="0"/>
        <w:snapToGrid w:val="0"/>
        <w:spacing w:before="120" w:beforeLines="50" w:line="360" w:lineRule="auto"/>
        <w:ind w:firstLine="480" w:firstLineChars="200"/>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rPr>
        <w:t>（</w:t>
      </w:r>
      <w:r>
        <w:rPr>
          <w:rFonts w:hint="eastAsia" w:ascii="Times New Roman" w:hAnsi="Times New Roman" w:eastAsia="宋体" w:cs="Times New Roman"/>
          <w:sz w:val="24"/>
          <w:lang w:val="en-US" w:eastAsia="zh-CN"/>
        </w:rPr>
        <w:t>4</w:t>
      </w:r>
      <w:r>
        <w:rPr>
          <w:rFonts w:hint="default" w:ascii="Times New Roman" w:hAnsi="Times New Roman" w:eastAsia="宋体" w:cs="Times New Roman"/>
          <w:sz w:val="24"/>
        </w:rPr>
        <w:t>）若</w:t>
      </w:r>
      <w:r>
        <w:rPr>
          <w:rFonts w:hint="eastAsia" w:ascii="Times New Roman" w:hAnsi="Times New Roman" w:eastAsia="宋体" w:cs="Times New Roman"/>
          <w:sz w:val="24"/>
          <w:lang w:val="en-US" w:eastAsia="zh-CN"/>
        </w:rPr>
        <w:t>货物</w:t>
      </w:r>
      <w:r>
        <w:rPr>
          <w:rFonts w:hint="default" w:ascii="Times New Roman" w:hAnsi="Times New Roman" w:eastAsia="宋体" w:cs="Times New Roman"/>
          <w:sz w:val="24"/>
        </w:rPr>
        <w:t>验收不通过，采购人有权换货，成交供应商必须无条件更换新的</w:t>
      </w:r>
      <w:r>
        <w:rPr>
          <w:rFonts w:hint="eastAsia" w:ascii="Times New Roman" w:hAnsi="Times New Roman" w:eastAsia="宋体" w:cs="Times New Roman"/>
          <w:sz w:val="24"/>
          <w:lang w:val="en-US" w:eastAsia="zh-CN"/>
        </w:rPr>
        <w:t>货物</w:t>
      </w:r>
      <w:r>
        <w:rPr>
          <w:rFonts w:hint="default" w:ascii="Times New Roman" w:hAnsi="Times New Roman" w:eastAsia="宋体" w:cs="Times New Roman"/>
          <w:sz w:val="24"/>
        </w:rPr>
        <w:t>给采购人。</w:t>
      </w:r>
    </w:p>
    <w:p>
      <w:pPr>
        <w:adjustRightInd w:val="0"/>
        <w:snapToGrid w:val="0"/>
        <w:spacing w:before="120" w:beforeLines="50" w:line="360" w:lineRule="auto"/>
        <w:ind w:firstLine="480" w:firstLineChars="200"/>
        <w:rPr>
          <w:rFonts w:hint="eastAsia" w:ascii="宋体" w:hAnsi="宋体" w:eastAsia="宋体" w:cs="宋体"/>
          <w:sz w:val="24"/>
          <w:lang w:val="en-US" w:eastAsia="zh-CN"/>
        </w:rPr>
        <w:sectPr>
          <w:pgSz w:w="11906" w:h="16838"/>
          <w:pgMar w:top="1440" w:right="1800" w:bottom="1440" w:left="1800" w:header="851" w:footer="992" w:gutter="0"/>
          <w:cols w:space="425" w:num="1"/>
          <w:docGrid w:type="lines" w:linePitch="312" w:charSpace="0"/>
        </w:sectPr>
      </w:pPr>
    </w:p>
    <w:p>
      <w:pPr>
        <w:keepNext/>
        <w:keepLines/>
        <w:widowControl w:val="0"/>
        <w:tabs>
          <w:tab w:val="left" w:pos="360"/>
        </w:tabs>
        <w:adjustRightInd w:val="0"/>
        <w:spacing w:before="120" w:line="360" w:lineRule="auto"/>
        <w:ind w:left="0" w:firstLine="0"/>
        <w:jc w:val="center"/>
        <w:textAlignment w:val="baseline"/>
        <w:outlineLvl w:val="0"/>
        <w:rPr>
          <w:rFonts w:hint="eastAsia" w:ascii="宋体" w:hAnsi="宋体" w:eastAsia="宋体" w:cs="宋体"/>
          <w:b/>
          <w:bCs/>
          <w:kern w:val="44"/>
          <w:sz w:val="32"/>
          <w:szCs w:val="32"/>
          <w:lang w:val="en-US" w:eastAsia="zh-CN" w:bidi="ar-SA"/>
        </w:rPr>
      </w:pPr>
      <w:bookmarkStart w:id="241" w:name="_Toc3007"/>
      <w:r>
        <w:rPr>
          <w:rFonts w:hint="eastAsia" w:ascii="宋体" w:hAnsi="宋体" w:eastAsia="宋体" w:cs="宋体"/>
          <w:b/>
          <w:bCs/>
          <w:kern w:val="44"/>
          <w:sz w:val="32"/>
          <w:szCs w:val="32"/>
          <w:lang w:val="en-US" w:eastAsia="zh-CN" w:bidi="ar-SA"/>
        </w:rPr>
        <w:t>第六章  评审办法</w:t>
      </w:r>
      <w:bookmarkEnd w:id="237"/>
      <w:bookmarkEnd w:id="238"/>
      <w:bookmarkEnd w:id="239"/>
      <w:bookmarkEnd w:id="241"/>
    </w:p>
    <w:bookmarkEnd w:id="240"/>
    <w:p>
      <w:pPr>
        <w:bidi w:val="0"/>
        <w:jc w:val="center"/>
        <w:rPr>
          <w:rFonts w:hint="default" w:ascii="Times New Roman" w:hAnsi="Times New Roman" w:cs="Times New Roman"/>
          <w:sz w:val="24"/>
          <w:szCs w:val="24"/>
          <w:lang w:val="en-US" w:eastAsia="zh-CN"/>
        </w:rPr>
      </w:pPr>
      <w:bookmarkStart w:id="242" w:name="_Toc22394_WPSOffice_Level3"/>
      <w:bookmarkStart w:id="243" w:name="_Toc22745_WPSOffice_Level2"/>
      <w:bookmarkStart w:id="244" w:name="_综合评分前附表"/>
    </w:p>
    <w:p>
      <w:pPr>
        <w:bidi w:val="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评审办法前附</w:t>
      </w:r>
      <w:bookmarkEnd w:id="242"/>
      <w:bookmarkEnd w:id="243"/>
      <w:bookmarkEnd w:id="244"/>
      <w:r>
        <w:rPr>
          <w:rFonts w:hint="default" w:ascii="Times New Roman" w:hAnsi="Times New Roman" w:cs="Times New Roman"/>
          <w:sz w:val="24"/>
          <w:szCs w:val="24"/>
          <w:lang w:val="en-US" w:eastAsia="zh-CN"/>
        </w:rPr>
        <w:t>表</w:t>
      </w:r>
    </w:p>
    <w:tbl>
      <w:tblPr>
        <w:tblStyle w:val="15"/>
        <w:tblpPr w:leftFromText="180" w:rightFromText="180" w:vertAnchor="text" w:horzAnchor="page" w:tblpX="1543" w:tblpY="110"/>
        <w:tblOverlap w:val="never"/>
        <w:tblW w:w="929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817"/>
        <w:gridCol w:w="1397"/>
        <w:gridCol w:w="626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1" w:hRule="atLeast"/>
        </w:trPr>
        <w:tc>
          <w:tcPr>
            <w:tcW w:w="1634" w:type="dxa"/>
            <w:gridSpan w:val="2"/>
            <w:tcBorders>
              <w:top w:val="single" w:color="auto" w:sz="12" w:space="0"/>
            </w:tcBorders>
            <w:vAlign w:val="center"/>
          </w:tcPr>
          <w:p>
            <w:pPr>
              <w:jc w:val="center"/>
              <w:rPr>
                <w:rFonts w:hint="eastAsia" w:ascii="宋体" w:hAnsi="宋体" w:eastAsia="宋体" w:cs="宋体"/>
                <w:b/>
                <w:szCs w:val="21"/>
              </w:rPr>
            </w:pPr>
            <w:bookmarkStart w:id="245" w:name="_Toc31028"/>
            <w:bookmarkStart w:id="246" w:name="_Toc60996699"/>
            <w:r>
              <w:rPr>
                <w:rFonts w:hint="eastAsia" w:ascii="宋体" w:hAnsi="宋体" w:eastAsia="宋体" w:cs="宋体"/>
                <w:b/>
                <w:szCs w:val="21"/>
              </w:rPr>
              <w:t>条款号</w:t>
            </w:r>
          </w:p>
        </w:tc>
        <w:tc>
          <w:tcPr>
            <w:tcW w:w="1397" w:type="dxa"/>
            <w:tcBorders>
              <w:top w:val="single" w:color="auto" w:sz="12" w:space="0"/>
            </w:tcBorders>
            <w:vAlign w:val="center"/>
          </w:tcPr>
          <w:p>
            <w:pPr>
              <w:jc w:val="center"/>
              <w:rPr>
                <w:rFonts w:hint="eastAsia" w:ascii="宋体" w:hAnsi="宋体" w:eastAsia="宋体" w:cs="宋体"/>
                <w:b/>
                <w:szCs w:val="21"/>
              </w:rPr>
            </w:pPr>
            <w:r>
              <w:rPr>
                <w:rFonts w:hint="eastAsia" w:ascii="宋体" w:hAnsi="宋体" w:eastAsia="宋体" w:cs="宋体"/>
                <w:b/>
                <w:szCs w:val="21"/>
              </w:rPr>
              <w:t>评审因素</w:t>
            </w:r>
          </w:p>
        </w:tc>
        <w:tc>
          <w:tcPr>
            <w:tcW w:w="6265" w:type="dxa"/>
            <w:tcBorders>
              <w:top w:val="single" w:color="auto" w:sz="12" w:space="0"/>
            </w:tcBorders>
            <w:vAlign w:val="center"/>
          </w:tcPr>
          <w:p>
            <w:pPr>
              <w:jc w:val="center"/>
              <w:rPr>
                <w:rFonts w:hint="eastAsia" w:ascii="宋体" w:hAnsi="宋体" w:eastAsia="宋体" w:cs="宋体"/>
                <w:b/>
                <w:szCs w:val="21"/>
              </w:rPr>
            </w:pPr>
            <w:r>
              <w:rPr>
                <w:rFonts w:hint="eastAsia" w:ascii="宋体" w:hAnsi="宋体" w:eastAsia="宋体" w:cs="宋体"/>
                <w:b/>
                <w:szCs w:val="21"/>
              </w:rPr>
              <w:t>评审标准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4" w:hRule="atLeast"/>
        </w:trPr>
        <w:tc>
          <w:tcPr>
            <w:tcW w:w="817" w:type="dxa"/>
            <w:vMerge w:val="restart"/>
            <w:tcBorders>
              <w:top w:val="single" w:color="auto" w:sz="12" w:space="0"/>
            </w:tcBorders>
            <w:vAlign w:val="center"/>
          </w:tcPr>
          <w:p>
            <w:pPr>
              <w:jc w:val="center"/>
              <w:rPr>
                <w:rFonts w:hint="eastAsia" w:ascii="宋体" w:hAnsi="宋体" w:eastAsia="宋体" w:cs="宋体"/>
                <w:b/>
                <w:szCs w:val="21"/>
              </w:rPr>
            </w:pPr>
            <w:r>
              <w:rPr>
                <w:rFonts w:hint="eastAsia" w:ascii="宋体" w:hAnsi="宋体" w:eastAsia="宋体" w:cs="宋体"/>
                <w:b/>
                <w:szCs w:val="21"/>
              </w:rPr>
              <w:t>1</w:t>
            </w:r>
          </w:p>
        </w:tc>
        <w:tc>
          <w:tcPr>
            <w:tcW w:w="817" w:type="dxa"/>
            <w:vMerge w:val="restart"/>
            <w:tcBorders>
              <w:top w:val="single" w:color="auto" w:sz="12" w:space="0"/>
            </w:tcBorders>
            <w:vAlign w:val="center"/>
          </w:tcPr>
          <w:p>
            <w:pPr>
              <w:jc w:val="center"/>
              <w:rPr>
                <w:rFonts w:hint="eastAsia" w:ascii="宋体" w:hAnsi="宋体" w:eastAsia="宋体" w:cs="宋体"/>
                <w:b/>
                <w:szCs w:val="21"/>
              </w:rPr>
            </w:pPr>
            <w:r>
              <w:rPr>
                <w:rFonts w:hint="eastAsia" w:ascii="宋体" w:hAnsi="宋体" w:eastAsia="宋体" w:cs="宋体"/>
                <w:szCs w:val="21"/>
              </w:rPr>
              <w:t>资格审查</w:t>
            </w:r>
          </w:p>
        </w:tc>
        <w:tc>
          <w:tcPr>
            <w:tcW w:w="1397" w:type="dxa"/>
            <w:tcBorders>
              <w:top w:val="single" w:color="auto" w:sz="12" w:space="0"/>
            </w:tcBorders>
            <w:vAlign w:val="center"/>
          </w:tcPr>
          <w:p>
            <w:pPr>
              <w:jc w:val="center"/>
              <w:rPr>
                <w:rFonts w:hint="eastAsia" w:ascii="宋体" w:hAnsi="宋体" w:eastAsia="宋体" w:cs="宋体"/>
                <w:b/>
                <w:szCs w:val="21"/>
              </w:rPr>
            </w:pPr>
            <w:r>
              <w:rPr>
                <w:rFonts w:hint="eastAsia" w:ascii="宋体" w:hAnsi="宋体" w:eastAsia="宋体" w:cs="宋体"/>
                <w:szCs w:val="21"/>
              </w:rPr>
              <w:t>营业执照</w:t>
            </w:r>
          </w:p>
        </w:tc>
        <w:tc>
          <w:tcPr>
            <w:tcW w:w="6265" w:type="dxa"/>
            <w:tcBorders>
              <w:top w:val="single" w:color="auto" w:sz="12" w:space="0"/>
            </w:tcBorders>
            <w:vAlign w:val="center"/>
          </w:tcPr>
          <w:p>
            <w:pPr>
              <w:jc w:val="left"/>
              <w:rPr>
                <w:rFonts w:hint="eastAsia" w:ascii="宋体" w:hAnsi="宋体" w:eastAsia="宋体" w:cs="宋体"/>
                <w:bCs/>
                <w:szCs w:val="21"/>
              </w:rPr>
            </w:pPr>
            <w:r>
              <w:rPr>
                <w:rFonts w:hint="eastAsia" w:ascii="宋体" w:hAnsi="宋体" w:eastAsia="宋体" w:cs="宋体"/>
                <w:bCs/>
                <w:szCs w:val="21"/>
              </w:rPr>
              <w:t>具备有效的营业执照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4" w:hRule="atLeast"/>
        </w:trPr>
        <w:tc>
          <w:tcPr>
            <w:tcW w:w="817" w:type="dxa"/>
            <w:vMerge w:val="continue"/>
            <w:vAlign w:val="center"/>
          </w:tcPr>
          <w:p>
            <w:pPr>
              <w:jc w:val="center"/>
              <w:rPr>
                <w:rFonts w:hint="eastAsia" w:ascii="宋体" w:hAnsi="宋体" w:eastAsia="宋体" w:cs="宋体"/>
                <w:b/>
                <w:szCs w:val="21"/>
              </w:rPr>
            </w:pPr>
          </w:p>
        </w:tc>
        <w:tc>
          <w:tcPr>
            <w:tcW w:w="817" w:type="dxa"/>
            <w:vMerge w:val="continue"/>
            <w:vAlign w:val="center"/>
          </w:tcPr>
          <w:p>
            <w:pPr>
              <w:jc w:val="center"/>
              <w:rPr>
                <w:rFonts w:hint="eastAsia" w:ascii="宋体" w:hAnsi="宋体" w:eastAsia="宋体" w:cs="宋体"/>
                <w:szCs w:val="21"/>
              </w:rPr>
            </w:pPr>
          </w:p>
        </w:tc>
        <w:tc>
          <w:tcPr>
            <w:tcW w:w="1397" w:type="dxa"/>
            <w:tcBorders>
              <w:top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bCs/>
                <w:szCs w:val="21"/>
                <w:lang w:val="en-US" w:eastAsia="zh-CN"/>
              </w:rPr>
              <w:t>供应商</w:t>
            </w:r>
            <w:r>
              <w:rPr>
                <w:rFonts w:hint="eastAsia" w:ascii="宋体" w:hAnsi="宋体" w:eastAsia="宋体" w:cs="宋体"/>
                <w:bCs/>
                <w:szCs w:val="21"/>
              </w:rPr>
              <w:t>纳税</w:t>
            </w:r>
            <w:r>
              <w:rPr>
                <w:rFonts w:hint="eastAsia" w:ascii="宋体" w:hAnsi="宋体" w:eastAsia="宋体" w:cs="宋体"/>
                <w:bCs/>
                <w:szCs w:val="21"/>
                <w:lang w:eastAsia="zh-CN"/>
              </w:rPr>
              <w:t>、</w:t>
            </w:r>
            <w:r>
              <w:rPr>
                <w:rFonts w:hint="eastAsia" w:ascii="宋体" w:hAnsi="宋体" w:eastAsia="宋体" w:cs="宋体"/>
                <w:bCs/>
                <w:szCs w:val="21"/>
              </w:rPr>
              <w:t>财务状况</w:t>
            </w:r>
            <w:r>
              <w:rPr>
                <w:rFonts w:hint="eastAsia" w:ascii="宋体" w:hAnsi="宋体" w:eastAsia="宋体" w:cs="宋体"/>
                <w:bCs/>
                <w:szCs w:val="21"/>
                <w:lang w:eastAsia="zh-CN"/>
              </w:rPr>
              <w:t>、</w:t>
            </w:r>
            <w:r>
              <w:rPr>
                <w:rFonts w:hint="eastAsia" w:ascii="宋体" w:hAnsi="宋体" w:eastAsia="宋体" w:cs="宋体"/>
                <w:bCs/>
                <w:szCs w:val="21"/>
              </w:rPr>
              <w:t>缴纳社会保险</w:t>
            </w:r>
            <w:r>
              <w:rPr>
                <w:rFonts w:hint="eastAsia" w:ascii="宋体" w:hAnsi="宋体" w:eastAsia="宋体" w:cs="宋体"/>
                <w:szCs w:val="21"/>
              </w:rPr>
              <w:t>情况</w:t>
            </w:r>
          </w:p>
        </w:tc>
        <w:tc>
          <w:tcPr>
            <w:tcW w:w="6265" w:type="dxa"/>
            <w:vAlign w:val="center"/>
          </w:tcPr>
          <w:p>
            <w:pPr>
              <w:jc w:val="left"/>
              <w:rPr>
                <w:rFonts w:hint="eastAsia" w:ascii="宋体" w:hAnsi="宋体" w:eastAsia="宋体" w:cs="宋体"/>
                <w:bCs/>
                <w:szCs w:val="21"/>
              </w:rPr>
            </w:pPr>
            <w:r>
              <w:rPr>
                <w:rFonts w:hint="eastAsia" w:ascii="宋体" w:hAnsi="宋体" w:eastAsia="宋体" w:cs="宋体"/>
                <w:bCs/>
                <w:szCs w:val="21"/>
              </w:rPr>
              <w:t>1、供应商纳税证明材料</w:t>
            </w:r>
          </w:p>
          <w:p>
            <w:pPr>
              <w:jc w:val="left"/>
              <w:rPr>
                <w:rFonts w:hint="eastAsia" w:ascii="宋体" w:hAnsi="宋体" w:eastAsia="宋体" w:cs="宋体"/>
                <w:bCs/>
                <w:szCs w:val="21"/>
              </w:rPr>
            </w:pPr>
            <w:r>
              <w:rPr>
                <w:rFonts w:hint="eastAsia" w:ascii="宋体" w:hAnsi="宋体" w:eastAsia="宋体" w:cs="宋体"/>
                <w:bCs/>
                <w:szCs w:val="21"/>
              </w:rPr>
              <w:t>2021年1月至今期间任意连续2个月的税务局税收通用缴款书复印件或银行电子缴税（费）凭证复印件或税务局出具纳税情况的相关证明复印件。</w:t>
            </w:r>
          </w:p>
          <w:p>
            <w:pPr>
              <w:jc w:val="left"/>
              <w:rPr>
                <w:rFonts w:hint="eastAsia" w:ascii="宋体" w:hAnsi="宋体" w:eastAsia="宋体" w:cs="宋体"/>
                <w:bCs/>
                <w:szCs w:val="21"/>
              </w:rPr>
            </w:pPr>
            <w:r>
              <w:rPr>
                <w:rFonts w:hint="eastAsia" w:ascii="宋体" w:hAnsi="宋体" w:eastAsia="宋体" w:cs="宋体"/>
                <w:bCs/>
                <w:szCs w:val="21"/>
              </w:rPr>
              <w:t>2、供应商近三年财务状况报告</w:t>
            </w:r>
          </w:p>
          <w:p>
            <w:pPr>
              <w:jc w:val="left"/>
              <w:rPr>
                <w:rFonts w:hint="eastAsia" w:ascii="宋体" w:hAnsi="宋体" w:eastAsia="宋体" w:cs="宋体"/>
                <w:bCs/>
                <w:szCs w:val="21"/>
              </w:rPr>
            </w:pPr>
            <w:r>
              <w:rPr>
                <w:rFonts w:hint="eastAsia" w:ascii="宋体" w:hAnsi="宋体" w:eastAsia="宋体" w:cs="宋体"/>
                <w:bCs/>
                <w:szCs w:val="21"/>
              </w:rPr>
              <w:t>2019～2021年度的财务报表复印件；如成立不满三年的，提供成立以后应有的财务报表资料。</w:t>
            </w:r>
          </w:p>
          <w:p>
            <w:pPr>
              <w:jc w:val="left"/>
              <w:rPr>
                <w:rFonts w:hint="eastAsia" w:ascii="宋体" w:hAnsi="宋体" w:eastAsia="宋体" w:cs="宋体"/>
                <w:bCs/>
                <w:szCs w:val="21"/>
              </w:rPr>
            </w:pPr>
            <w:r>
              <w:rPr>
                <w:rFonts w:hint="eastAsia" w:ascii="宋体" w:hAnsi="宋体" w:eastAsia="宋体" w:cs="宋体"/>
                <w:bCs/>
                <w:szCs w:val="21"/>
              </w:rPr>
              <w:t>3、供应商缴纳社会保险证明资料</w:t>
            </w:r>
          </w:p>
          <w:p>
            <w:pPr>
              <w:jc w:val="left"/>
              <w:rPr>
                <w:rFonts w:hint="eastAsia" w:ascii="宋体" w:hAnsi="宋体" w:eastAsia="宋体" w:cs="宋体"/>
                <w:b/>
                <w:szCs w:val="21"/>
              </w:rPr>
            </w:pPr>
            <w:r>
              <w:rPr>
                <w:rFonts w:hint="eastAsia" w:ascii="宋体" w:hAnsi="宋体" w:eastAsia="宋体" w:cs="宋体"/>
                <w:bCs/>
                <w:szCs w:val="21"/>
              </w:rPr>
              <w:t>2021年1月至今期间任意连续2个的依法缴纳社会保险的证明（缴费凭证复印件），或者委托他人缴纳的委托代办协议和2021年1月至今期间任意连续2个月的缴纳证明（收据复印件），或者法定征收机关出具的依法免缴保险费的证明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4" w:hRule="atLeast"/>
        </w:trPr>
        <w:tc>
          <w:tcPr>
            <w:tcW w:w="817" w:type="dxa"/>
            <w:vMerge w:val="continue"/>
            <w:vAlign w:val="center"/>
          </w:tcPr>
          <w:p>
            <w:pPr>
              <w:jc w:val="center"/>
              <w:rPr>
                <w:rFonts w:hint="eastAsia" w:ascii="宋体" w:hAnsi="宋体" w:eastAsia="宋体" w:cs="宋体"/>
                <w:b/>
                <w:szCs w:val="21"/>
              </w:rPr>
            </w:pPr>
          </w:p>
        </w:tc>
        <w:tc>
          <w:tcPr>
            <w:tcW w:w="817" w:type="dxa"/>
            <w:vMerge w:val="continue"/>
            <w:vAlign w:val="center"/>
          </w:tcPr>
          <w:p>
            <w:pPr>
              <w:jc w:val="center"/>
              <w:rPr>
                <w:rFonts w:hint="eastAsia" w:ascii="宋体" w:hAnsi="宋体" w:eastAsia="宋体" w:cs="宋体"/>
                <w:szCs w:val="21"/>
              </w:rPr>
            </w:pPr>
          </w:p>
        </w:tc>
        <w:tc>
          <w:tcPr>
            <w:tcW w:w="1397" w:type="dxa"/>
            <w:vMerge w:val="restart"/>
            <w:tcBorders>
              <w:top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信誉</w:t>
            </w:r>
          </w:p>
        </w:tc>
        <w:tc>
          <w:tcPr>
            <w:tcW w:w="6265" w:type="dxa"/>
            <w:vAlign w:val="center"/>
          </w:tcPr>
          <w:p>
            <w:pPr>
              <w:jc w:val="left"/>
              <w:rPr>
                <w:rFonts w:hint="eastAsia" w:ascii="宋体" w:hAnsi="宋体" w:eastAsia="宋体" w:cs="宋体"/>
                <w:b/>
                <w:szCs w:val="21"/>
              </w:rPr>
            </w:pPr>
            <w:r>
              <w:rPr>
                <w:rFonts w:hint="eastAsia" w:ascii="宋体" w:hAnsi="宋体" w:eastAsia="宋体" w:cs="宋体"/>
                <w:bCs/>
                <w:szCs w:val="21"/>
              </w:rPr>
              <w:t>供应商参加政府采购活动前3年内在经营活动中没有重大违法记录的书面声明，须提供书面声明并加盖公章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4" w:hRule="atLeast"/>
        </w:trPr>
        <w:tc>
          <w:tcPr>
            <w:tcW w:w="817" w:type="dxa"/>
            <w:vMerge w:val="continue"/>
            <w:vAlign w:val="center"/>
          </w:tcPr>
          <w:p>
            <w:pPr>
              <w:jc w:val="center"/>
              <w:rPr>
                <w:rFonts w:hint="eastAsia" w:ascii="宋体" w:hAnsi="宋体" w:eastAsia="宋体" w:cs="宋体"/>
                <w:b/>
                <w:szCs w:val="21"/>
              </w:rPr>
            </w:pPr>
          </w:p>
        </w:tc>
        <w:tc>
          <w:tcPr>
            <w:tcW w:w="817" w:type="dxa"/>
            <w:vMerge w:val="continue"/>
            <w:vAlign w:val="center"/>
          </w:tcPr>
          <w:p>
            <w:pPr>
              <w:jc w:val="center"/>
              <w:rPr>
                <w:rFonts w:hint="eastAsia" w:ascii="宋体" w:hAnsi="宋体" w:eastAsia="宋体" w:cs="宋体"/>
                <w:szCs w:val="21"/>
              </w:rPr>
            </w:pPr>
          </w:p>
        </w:tc>
        <w:tc>
          <w:tcPr>
            <w:tcW w:w="1397" w:type="dxa"/>
            <w:vMerge w:val="continue"/>
            <w:vAlign w:val="center"/>
          </w:tcPr>
          <w:p>
            <w:pPr>
              <w:jc w:val="center"/>
              <w:rPr>
                <w:rFonts w:hint="eastAsia" w:ascii="宋体" w:hAnsi="宋体" w:eastAsia="宋体" w:cs="宋体"/>
                <w:b/>
                <w:szCs w:val="21"/>
              </w:rPr>
            </w:pPr>
          </w:p>
        </w:tc>
        <w:tc>
          <w:tcPr>
            <w:tcW w:w="6265" w:type="dxa"/>
            <w:vAlign w:val="center"/>
          </w:tcPr>
          <w:p>
            <w:pPr>
              <w:jc w:val="left"/>
              <w:rPr>
                <w:rFonts w:hint="eastAsia" w:ascii="宋体" w:hAnsi="宋体" w:eastAsia="宋体" w:cs="宋体"/>
                <w:b/>
                <w:szCs w:val="21"/>
              </w:rPr>
            </w:pPr>
            <w:r>
              <w:rPr>
                <w:rFonts w:hint="eastAsia" w:ascii="宋体" w:hAnsi="宋体" w:eastAsia="宋体" w:cs="宋体"/>
                <w:bCs/>
                <w:szCs w:val="21"/>
                <w:lang w:eastAsia="zh-CN"/>
              </w:rPr>
              <w:t>供应商在投标截止时间前未被列入“信用中国”网站（www.creditchina.gov.cn）失信被执行人、重大税收违法案件当事人名单、政府采购严重违法失信行为记录名单及中国政府采购网（www.ccgp.gov.cn）“政府采购严重违法失信行为信息记录”，</w:t>
            </w:r>
            <w:r>
              <w:rPr>
                <w:rFonts w:hint="eastAsia" w:ascii="宋体" w:hAnsi="宋体" w:eastAsia="宋体" w:cs="宋体"/>
                <w:bCs/>
                <w:szCs w:val="21"/>
              </w:rPr>
              <w:t>须提供查询结果网页截图和承诺函。若为失信企业，将取消中标资格。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8" w:hRule="atLeast"/>
        </w:trPr>
        <w:tc>
          <w:tcPr>
            <w:tcW w:w="817" w:type="dxa"/>
            <w:vMerge w:val="continue"/>
            <w:vAlign w:val="center"/>
          </w:tcPr>
          <w:p>
            <w:pPr>
              <w:jc w:val="center"/>
              <w:rPr>
                <w:rFonts w:hint="eastAsia" w:ascii="宋体" w:hAnsi="宋体" w:eastAsia="宋体" w:cs="宋体"/>
                <w:b/>
                <w:szCs w:val="21"/>
              </w:rPr>
            </w:pPr>
          </w:p>
        </w:tc>
        <w:tc>
          <w:tcPr>
            <w:tcW w:w="817" w:type="dxa"/>
            <w:vMerge w:val="continue"/>
            <w:vAlign w:val="center"/>
          </w:tcPr>
          <w:p>
            <w:pPr>
              <w:jc w:val="center"/>
              <w:rPr>
                <w:rFonts w:hint="eastAsia" w:ascii="宋体" w:hAnsi="宋体" w:eastAsia="宋体" w:cs="宋体"/>
                <w:szCs w:val="21"/>
              </w:rPr>
            </w:pPr>
          </w:p>
        </w:tc>
        <w:tc>
          <w:tcPr>
            <w:tcW w:w="1397" w:type="dxa"/>
            <w:tcBorders>
              <w:top w:val="single" w:color="auto" w:sz="12" w:space="0"/>
            </w:tcBorders>
            <w:vAlign w:val="center"/>
          </w:tcPr>
          <w:p>
            <w:pPr>
              <w:jc w:val="center"/>
              <w:rPr>
                <w:rFonts w:hint="eastAsia" w:ascii="宋体" w:hAnsi="宋体" w:eastAsia="宋体" w:cs="宋体"/>
                <w:b/>
                <w:szCs w:val="21"/>
              </w:rPr>
            </w:pPr>
            <w:r>
              <w:rPr>
                <w:rFonts w:hint="eastAsia" w:ascii="宋体" w:hAnsi="宋体" w:eastAsia="宋体" w:cs="宋体"/>
                <w:bCs/>
                <w:szCs w:val="21"/>
              </w:rPr>
              <w:t>谈判保证金</w:t>
            </w:r>
          </w:p>
        </w:tc>
        <w:tc>
          <w:tcPr>
            <w:tcW w:w="6265" w:type="dxa"/>
            <w:vAlign w:val="center"/>
          </w:tcPr>
          <w:p>
            <w:pPr>
              <w:jc w:val="left"/>
              <w:rPr>
                <w:rFonts w:hint="eastAsia" w:ascii="宋体" w:hAnsi="宋体" w:eastAsia="宋体" w:cs="宋体"/>
                <w:bCs/>
                <w:szCs w:val="21"/>
              </w:rPr>
            </w:pPr>
            <w:r>
              <w:rPr>
                <w:rFonts w:hint="eastAsia" w:ascii="宋体" w:hAnsi="宋体" w:eastAsia="宋体" w:cs="宋体"/>
                <w:bCs/>
                <w:szCs w:val="21"/>
              </w:rPr>
              <w:t>足额缴纳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9" w:hRule="atLeast"/>
        </w:trPr>
        <w:tc>
          <w:tcPr>
            <w:tcW w:w="817"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817"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符合</w:t>
            </w:r>
          </w:p>
          <w:p>
            <w:pPr>
              <w:jc w:val="center"/>
              <w:rPr>
                <w:rFonts w:hint="eastAsia" w:ascii="宋体" w:hAnsi="宋体" w:eastAsia="宋体" w:cs="宋体"/>
                <w:szCs w:val="21"/>
              </w:rPr>
            </w:pPr>
            <w:r>
              <w:rPr>
                <w:rFonts w:hint="eastAsia" w:ascii="宋体" w:hAnsi="宋体" w:eastAsia="宋体" w:cs="宋体"/>
                <w:szCs w:val="21"/>
              </w:rPr>
              <w:t>性审查</w:t>
            </w:r>
          </w:p>
          <w:p>
            <w:pPr>
              <w:jc w:val="center"/>
              <w:rPr>
                <w:rFonts w:hint="eastAsia" w:ascii="宋体" w:hAnsi="宋体" w:eastAsia="宋体" w:cs="宋体"/>
                <w:szCs w:val="21"/>
              </w:rPr>
            </w:pPr>
          </w:p>
        </w:tc>
        <w:tc>
          <w:tcPr>
            <w:tcW w:w="1397" w:type="dxa"/>
            <w:vAlign w:val="center"/>
          </w:tcPr>
          <w:p>
            <w:pPr>
              <w:jc w:val="center"/>
              <w:rPr>
                <w:rFonts w:hint="eastAsia" w:ascii="宋体" w:hAnsi="宋体" w:eastAsia="宋体" w:cs="宋体"/>
                <w:szCs w:val="21"/>
              </w:rPr>
            </w:pPr>
            <w:r>
              <w:rPr>
                <w:rFonts w:hint="eastAsia" w:ascii="宋体" w:hAnsi="宋体" w:eastAsia="宋体" w:cs="宋体"/>
                <w:szCs w:val="21"/>
              </w:rPr>
              <w:t>响应文件格式</w:t>
            </w:r>
          </w:p>
        </w:tc>
        <w:tc>
          <w:tcPr>
            <w:tcW w:w="6265" w:type="dxa"/>
            <w:vAlign w:val="center"/>
          </w:tcPr>
          <w:p>
            <w:pPr>
              <w:rPr>
                <w:rFonts w:hint="eastAsia" w:ascii="宋体" w:hAnsi="宋体" w:eastAsia="宋体" w:cs="宋体"/>
                <w:szCs w:val="21"/>
              </w:rPr>
            </w:pPr>
            <w:r>
              <w:rPr>
                <w:rFonts w:hint="eastAsia" w:ascii="宋体" w:hAnsi="宋体" w:eastAsia="宋体" w:cs="宋体"/>
                <w:szCs w:val="21"/>
              </w:rPr>
              <w:t>响应文件按谈判文件格式及内容要求签署、盖章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9" w:hRule="atLeast"/>
        </w:trPr>
        <w:tc>
          <w:tcPr>
            <w:tcW w:w="817" w:type="dxa"/>
            <w:vMerge w:val="continue"/>
            <w:vAlign w:val="center"/>
          </w:tcPr>
          <w:p>
            <w:pPr>
              <w:rPr>
                <w:rFonts w:hint="eastAsia" w:ascii="宋体" w:hAnsi="宋体" w:eastAsia="宋体" w:cs="宋体"/>
              </w:rPr>
            </w:pPr>
          </w:p>
        </w:tc>
        <w:tc>
          <w:tcPr>
            <w:tcW w:w="817" w:type="dxa"/>
            <w:vMerge w:val="continue"/>
            <w:vAlign w:val="center"/>
          </w:tcPr>
          <w:p>
            <w:pPr>
              <w:rPr>
                <w:rFonts w:hint="eastAsia" w:ascii="宋体" w:hAnsi="宋体" w:eastAsia="宋体" w:cs="宋体"/>
              </w:rPr>
            </w:pPr>
          </w:p>
        </w:tc>
        <w:tc>
          <w:tcPr>
            <w:tcW w:w="1397" w:type="dxa"/>
            <w:vAlign w:val="center"/>
          </w:tcPr>
          <w:p>
            <w:pPr>
              <w:jc w:val="center"/>
              <w:rPr>
                <w:rFonts w:hint="eastAsia" w:ascii="宋体" w:hAnsi="宋体" w:eastAsia="宋体" w:cs="宋体"/>
              </w:rPr>
            </w:pPr>
            <w:r>
              <w:rPr>
                <w:rFonts w:hint="eastAsia" w:ascii="宋体" w:hAnsi="宋体" w:eastAsia="宋体" w:cs="宋体"/>
                <w:lang w:eastAsia="zh-CN"/>
              </w:rPr>
              <w:t>谈判响应</w:t>
            </w:r>
            <w:r>
              <w:rPr>
                <w:rFonts w:hint="eastAsia" w:ascii="宋体" w:hAnsi="宋体" w:eastAsia="宋体" w:cs="宋体"/>
              </w:rPr>
              <w:t>函</w:t>
            </w:r>
          </w:p>
        </w:tc>
        <w:tc>
          <w:tcPr>
            <w:tcW w:w="6265" w:type="dxa"/>
            <w:vAlign w:val="center"/>
          </w:tcPr>
          <w:p>
            <w:pPr>
              <w:rPr>
                <w:rFonts w:hint="eastAsia" w:ascii="宋体" w:hAnsi="宋体" w:eastAsia="宋体" w:cs="宋体"/>
              </w:rPr>
            </w:pPr>
            <w:r>
              <w:rPr>
                <w:rFonts w:hint="eastAsia" w:ascii="宋体" w:hAnsi="宋体" w:eastAsia="宋体" w:cs="宋体"/>
              </w:rPr>
              <w:t>有法定代表人签名或盖章，并加盖单位公章；符合谈判文件给定格式及内容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6" w:hRule="atLeast"/>
        </w:trPr>
        <w:tc>
          <w:tcPr>
            <w:tcW w:w="817" w:type="dxa"/>
            <w:vMerge w:val="continue"/>
            <w:vAlign w:val="center"/>
          </w:tcPr>
          <w:p>
            <w:pPr>
              <w:rPr>
                <w:rFonts w:hint="eastAsia" w:ascii="宋体" w:hAnsi="宋体" w:eastAsia="宋体" w:cs="宋体"/>
              </w:rPr>
            </w:pPr>
          </w:p>
        </w:tc>
        <w:tc>
          <w:tcPr>
            <w:tcW w:w="817" w:type="dxa"/>
            <w:vMerge w:val="continue"/>
            <w:vAlign w:val="center"/>
          </w:tcPr>
          <w:p>
            <w:pPr>
              <w:rPr>
                <w:rFonts w:hint="eastAsia" w:ascii="宋体" w:hAnsi="宋体" w:eastAsia="宋体" w:cs="宋体"/>
              </w:rPr>
            </w:pPr>
          </w:p>
        </w:tc>
        <w:tc>
          <w:tcPr>
            <w:tcW w:w="1397" w:type="dxa"/>
            <w:vAlign w:val="center"/>
          </w:tcPr>
          <w:p>
            <w:pPr>
              <w:jc w:val="center"/>
              <w:rPr>
                <w:rFonts w:hint="eastAsia" w:ascii="宋体" w:hAnsi="宋体" w:eastAsia="宋体" w:cs="宋体"/>
              </w:rPr>
            </w:pPr>
            <w:r>
              <w:rPr>
                <w:rFonts w:hint="eastAsia" w:ascii="宋体" w:hAnsi="宋体" w:eastAsia="宋体" w:cs="宋体"/>
              </w:rPr>
              <w:t>法定代表人资格证明书</w:t>
            </w:r>
          </w:p>
        </w:tc>
        <w:tc>
          <w:tcPr>
            <w:tcW w:w="6265" w:type="dxa"/>
            <w:vAlign w:val="center"/>
          </w:tcPr>
          <w:p>
            <w:pPr>
              <w:rPr>
                <w:rFonts w:hint="eastAsia" w:ascii="宋体" w:hAnsi="宋体" w:eastAsia="宋体" w:cs="宋体"/>
              </w:rPr>
            </w:pPr>
            <w:r>
              <w:rPr>
                <w:rFonts w:hint="eastAsia" w:ascii="宋体" w:hAnsi="宋体" w:eastAsia="宋体" w:cs="宋体"/>
              </w:rPr>
              <w:t>符合谈判文件给定格式及内容,并加盖单位公章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9" w:hRule="atLeast"/>
        </w:trPr>
        <w:tc>
          <w:tcPr>
            <w:tcW w:w="817" w:type="dxa"/>
            <w:vMerge w:val="continue"/>
            <w:vAlign w:val="center"/>
          </w:tcPr>
          <w:p>
            <w:pPr>
              <w:rPr>
                <w:rFonts w:hint="eastAsia" w:ascii="宋体" w:hAnsi="宋体" w:eastAsia="宋体" w:cs="宋体"/>
              </w:rPr>
            </w:pPr>
          </w:p>
        </w:tc>
        <w:tc>
          <w:tcPr>
            <w:tcW w:w="817" w:type="dxa"/>
            <w:vMerge w:val="continue"/>
            <w:vAlign w:val="center"/>
          </w:tcPr>
          <w:p>
            <w:pPr>
              <w:rPr>
                <w:rFonts w:hint="eastAsia" w:ascii="宋体" w:hAnsi="宋体" w:eastAsia="宋体" w:cs="宋体"/>
              </w:rPr>
            </w:pPr>
          </w:p>
        </w:tc>
        <w:tc>
          <w:tcPr>
            <w:tcW w:w="1397" w:type="dxa"/>
            <w:vMerge w:val="restart"/>
            <w:vAlign w:val="center"/>
          </w:tcPr>
          <w:p>
            <w:pPr>
              <w:jc w:val="center"/>
              <w:rPr>
                <w:rFonts w:hint="eastAsia" w:ascii="宋体" w:hAnsi="宋体" w:eastAsia="宋体" w:cs="宋体"/>
              </w:rPr>
            </w:pPr>
            <w:r>
              <w:rPr>
                <w:rFonts w:hint="eastAsia" w:ascii="宋体" w:hAnsi="宋体" w:eastAsia="宋体" w:cs="宋体"/>
              </w:rPr>
              <w:t>法定代表人授权委托书</w:t>
            </w:r>
          </w:p>
        </w:tc>
        <w:tc>
          <w:tcPr>
            <w:tcW w:w="6265" w:type="dxa"/>
            <w:vAlign w:val="center"/>
          </w:tcPr>
          <w:p>
            <w:pPr>
              <w:rPr>
                <w:rFonts w:hint="eastAsia" w:ascii="宋体" w:hAnsi="宋体" w:eastAsia="宋体" w:cs="宋体"/>
              </w:rPr>
            </w:pPr>
            <w:r>
              <w:rPr>
                <w:rFonts w:hint="eastAsia" w:ascii="宋体" w:hAnsi="宋体" w:eastAsia="宋体" w:cs="宋体"/>
              </w:rPr>
              <w:t>有法定代表人签名或盖章，并加盖单位公章；符合谈判文件给定格式及内容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14" w:hRule="atLeast"/>
        </w:trPr>
        <w:tc>
          <w:tcPr>
            <w:tcW w:w="817" w:type="dxa"/>
            <w:vMerge w:val="continue"/>
            <w:vAlign w:val="center"/>
          </w:tcPr>
          <w:p>
            <w:pPr>
              <w:rPr>
                <w:rFonts w:hint="eastAsia" w:ascii="宋体" w:hAnsi="宋体" w:eastAsia="宋体" w:cs="宋体"/>
              </w:rPr>
            </w:pPr>
          </w:p>
        </w:tc>
        <w:tc>
          <w:tcPr>
            <w:tcW w:w="817" w:type="dxa"/>
            <w:vMerge w:val="continue"/>
            <w:vAlign w:val="center"/>
          </w:tcPr>
          <w:p>
            <w:pPr>
              <w:rPr>
                <w:rFonts w:hint="eastAsia" w:ascii="宋体" w:hAnsi="宋体" w:eastAsia="宋体" w:cs="宋体"/>
              </w:rPr>
            </w:pPr>
          </w:p>
        </w:tc>
        <w:tc>
          <w:tcPr>
            <w:tcW w:w="1397" w:type="dxa"/>
            <w:vMerge w:val="continue"/>
            <w:vAlign w:val="center"/>
          </w:tcPr>
          <w:p>
            <w:pPr>
              <w:jc w:val="center"/>
              <w:rPr>
                <w:rFonts w:hint="eastAsia" w:ascii="宋体" w:hAnsi="宋体" w:eastAsia="宋体" w:cs="宋体"/>
              </w:rPr>
            </w:pPr>
          </w:p>
        </w:tc>
        <w:tc>
          <w:tcPr>
            <w:tcW w:w="6265" w:type="dxa"/>
            <w:vAlign w:val="center"/>
          </w:tcPr>
          <w:p>
            <w:pPr>
              <w:rPr>
                <w:rFonts w:hint="eastAsia" w:ascii="宋体" w:hAnsi="宋体" w:eastAsia="宋体" w:cs="宋体"/>
              </w:rPr>
            </w:pPr>
            <w:r>
              <w:rPr>
                <w:rFonts w:hint="eastAsia" w:ascii="宋体" w:hAnsi="宋体" w:eastAsia="宋体" w:cs="宋体"/>
              </w:rPr>
              <w:t>注：响应文件（包括评审过程中的澄清、说明或者补正）由法定代表人签署的，不审查该项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89" w:hRule="atLeast"/>
        </w:trPr>
        <w:tc>
          <w:tcPr>
            <w:tcW w:w="817" w:type="dxa"/>
            <w:vMerge w:val="continue"/>
            <w:vAlign w:val="center"/>
          </w:tcPr>
          <w:p>
            <w:pPr>
              <w:rPr>
                <w:rFonts w:hint="eastAsia" w:ascii="宋体" w:hAnsi="宋体" w:eastAsia="宋体" w:cs="宋体"/>
              </w:rPr>
            </w:pPr>
          </w:p>
        </w:tc>
        <w:tc>
          <w:tcPr>
            <w:tcW w:w="817" w:type="dxa"/>
            <w:vMerge w:val="continue"/>
            <w:vAlign w:val="center"/>
          </w:tcPr>
          <w:p>
            <w:pPr>
              <w:rPr>
                <w:rFonts w:hint="eastAsia" w:ascii="宋体" w:hAnsi="宋体" w:eastAsia="宋体" w:cs="宋体"/>
              </w:rPr>
            </w:pPr>
          </w:p>
        </w:tc>
        <w:tc>
          <w:tcPr>
            <w:tcW w:w="1397" w:type="dxa"/>
            <w:vAlign w:val="center"/>
          </w:tcPr>
          <w:p>
            <w:pPr>
              <w:jc w:val="center"/>
              <w:rPr>
                <w:rFonts w:hint="eastAsia" w:ascii="宋体" w:hAnsi="宋体" w:eastAsia="宋体" w:cs="宋体"/>
              </w:rPr>
            </w:pPr>
            <w:r>
              <w:rPr>
                <w:rFonts w:hint="eastAsia" w:ascii="宋体" w:hAnsi="宋体" w:eastAsia="宋体" w:cs="宋体"/>
                <w:szCs w:val="21"/>
              </w:rPr>
              <w:t>投标报价</w:t>
            </w:r>
          </w:p>
        </w:tc>
        <w:tc>
          <w:tcPr>
            <w:tcW w:w="6265" w:type="dxa"/>
            <w:vAlign w:val="center"/>
          </w:tcPr>
          <w:p>
            <w:pPr>
              <w:rPr>
                <w:rFonts w:hint="eastAsia" w:ascii="宋体" w:hAnsi="宋体" w:eastAsia="宋体" w:cs="宋体"/>
              </w:rPr>
            </w:pPr>
            <w:r>
              <w:rPr>
                <w:rFonts w:hint="eastAsia" w:ascii="宋体" w:hAnsi="宋体" w:eastAsia="宋体" w:cs="宋体"/>
              </w:rPr>
              <w:t>报价唯一</w:t>
            </w:r>
            <w:r>
              <w:rPr>
                <w:rFonts w:hint="eastAsia" w:ascii="宋体" w:hAnsi="宋体" w:eastAsia="宋体" w:cs="宋体"/>
                <w:szCs w:val="21"/>
              </w:rPr>
              <w:t>且不得高于采购预算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79" w:hRule="atLeast"/>
        </w:trPr>
        <w:tc>
          <w:tcPr>
            <w:tcW w:w="817" w:type="dxa"/>
            <w:vMerge w:val="continue"/>
            <w:vAlign w:val="center"/>
          </w:tcPr>
          <w:p>
            <w:pPr>
              <w:rPr>
                <w:rFonts w:hint="eastAsia" w:ascii="宋体" w:hAnsi="宋体" w:eastAsia="宋体" w:cs="宋体"/>
              </w:rPr>
            </w:pPr>
          </w:p>
        </w:tc>
        <w:tc>
          <w:tcPr>
            <w:tcW w:w="817" w:type="dxa"/>
            <w:vMerge w:val="continue"/>
            <w:vAlign w:val="center"/>
          </w:tcPr>
          <w:p>
            <w:pPr>
              <w:rPr>
                <w:rFonts w:hint="eastAsia" w:ascii="宋体" w:hAnsi="宋体" w:eastAsia="宋体" w:cs="宋体"/>
              </w:rPr>
            </w:pPr>
          </w:p>
        </w:tc>
        <w:tc>
          <w:tcPr>
            <w:tcW w:w="1397" w:type="dxa"/>
            <w:vAlign w:val="center"/>
          </w:tcPr>
          <w:p>
            <w:pPr>
              <w:jc w:val="center"/>
              <w:rPr>
                <w:rFonts w:hint="eastAsia" w:ascii="宋体" w:hAnsi="宋体" w:eastAsia="宋体" w:cs="宋体"/>
                <w:szCs w:val="21"/>
              </w:rPr>
            </w:pPr>
            <w:r>
              <w:rPr>
                <w:rFonts w:hint="eastAsia" w:ascii="宋体" w:hAnsi="宋体" w:eastAsia="宋体" w:cs="宋体"/>
                <w:szCs w:val="21"/>
              </w:rPr>
              <w:t>实质性响应文件内容</w:t>
            </w:r>
          </w:p>
        </w:tc>
        <w:tc>
          <w:tcPr>
            <w:tcW w:w="6265" w:type="dxa"/>
            <w:vAlign w:val="center"/>
          </w:tcPr>
          <w:p>
            <w:pPr>
              <w:rPr>
                <w:rFonts w:hint="eastAsia" w:ascii="宋体" w:hAnsi="宋体" w:eastAsia="宋体" w:cs="宋体"/>
              </w:rPr>
            </w:pPr>
            <w:r>
              <w:rPr>
                <w:rFonts w:hint="eastAsia" w:ascii="宋体" w:hAnsi="宋体" w:eastAsia="宋体" w:cs="宋体"/>
              </w:rPr>
              <w:t>实质性响应谈判文件商务及技术要求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24" w:hRule="atLeast"/>
        </w:trPr>
        <w:tc>
          <w:tcPr>
            <w:tcW w:w="817" w:type="dxa"/>
            <w:vMerge w:val="continue"/>
            <w:vAlign w:val="center"/>
          </w:tcPr>
          <w:p>
            <w:pPr>
              <w:rPr>
                <w:rFonts w:hint="eastAsia" w:ascii="宋体" w:hAnsi="宋体" w:eastAsia="宋体" w:cs="宋体"/>
              </w:rPr>
            </w:pPr>
          </w:p>
        </w:tc>
        <w:tc>
          <w:tcPr>
            <w:tcW w:w="817" w:type="dxa"/>
            <w:vMerge w:val="continue"/>
            <w:vAlign w:val="center"/>
          </w:tcPr>
          <w:p>
            <w:pPr>
              <w:rPr>
                <w:rFonts w:hint="eastAsia" w:ascii="宋体" w:hAnsi="宋体" w:eastAsia="宋体" w:cs="宋体"/>
              </w:rPr>
            </w:pPr>
          </w:p>
        </w:tc>
        <w:tc>
          <w:tcPr>
            <w:tcW w:w="1397" w:type="dxa"/>
            <w:vAlign w:val="center"/>
          </w:tcPr>
          <w:p>
            <w:pPr>
              <w:jc w:val="center"/>
              <w:rPr>
                <w:rFonts w:hint="eastAsia" w:ascii="宋体" w:hAnsi="宋体" w:eastAsia="宋体" w:cs="宋体"/>
                <w:szCs w:val="21"/>
              </w:rPr>
            </w:pPr>
            <w:r>
              <w:rPr>
                <w:rFonts w:hint="eastAsia" w:ascii="宋体" w:hAnsi="宋体" w:eastAsia="宋体" w:cs="宋体"/>
                <w:szCs w:val="21"/>
              </w:rPr>
              <w:t>投标有效期</w:t>
            </w:r>
          </w:p>
        </w:tc>
        <w:tc>
          <w:tcPr>
            <w:tcW w:w="6265" w:type="dxa"/>
            <w:vAlign w:val="center"/>
          </w:tcPr>
          <w:p>
            <w:pPr>
              <w:rPr>
                <w:rFonts w:hint="eastAsia" w:ascii="宋体" w:hAnsi="宋体" w:eastAsia="宋体" w:cs="宋体"/>
                <w:szCs w:val="21"/>
              </w:rPr>
            </w:pPr>
            <w:r>
              <w:rPr>
                <w:rFonts w:hint="eastAsia" w:ascii="宋体" w:hAnsi="宋体" w:eastAsia="宋体" w:cs="宋体"/>
                <w:szCs w:val="21"/>
              </w:rPr>
              <w:t>符合第二章“供应商须知”相关规定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817" w:type="dxa"/>
            <w:vMerge w:val="continue"/>
            <w:vAlign w:val="center"/>
          </w:tcPr>
          <w:p>
            <w:pPr>
              <w:rPr>
                <w:rFonts w:hint="eastAsia" w:ascii="宋体" w:hAnsi="宋体" w:eastAsia="宋体" w:cs="宋体"/>
              </w:rPr>
            </w:pPr>
          </w:p>
        </w:tc>
        <w:tc>
          <w:tcPr>
            <w:tcW w:w="817" w:type="dxa"/>
            <w:vMerge w:val="continue"/>
            <w:vAlign w:val="center"/>
          </w:tcPr>
          <w:p>
            <w:pPr>
              <w:rPr>
                <w:rFonts w:hint="eastAsia" w:ascii="宋体" w:hAnsi="宋体" w:eastAsia="宋体" w:cs="宋体"/>
              </w:rPr>
            </w:pPr>
          </w:p>
        </w:tc>
        <w:tc>
          <w:tcPr>
            <w:tcW w:w="1397" w:type="dxa"/>
            <w:vAlign w:val="center"/>
          </w:tcPr>
          <w:p>
            <w:pPr>
              <w:jc w:val="center"/>
              <w:rPr>
                <w:rFonts w:hint="eastAsia" w:ascii="宋体" w:hAnsi="宋体" w:eastAsia="宋体" w:cs="宋体"/>
                <w:szCs w:val="21"/>
              </w:rPr>
            </w:pPr>
            <w:r>
              <w:rPr>
                <w:rFonts w:hint="eastAsia" w:ascii="宋体" w:hAnsi="宋体" w:eastAsia="宋体" w:cs="宋体"/>
                <w:szCs w:val="21"/>
              </w:rPr>
              <w:t>投标是否有效</w:t>
            </w:r>
          </w:p>
        </w:tc>
        <w:tc>
          <w:tcPr>
            <w:tcW w:w="6265" w:type="dxa"/>
            <w:vAlign w:val="center"/>
          </w:tcPr>
          <w:p>
            <w:pPr>
              <w:rPr>
                <w:rFonts w:hint="eastAsia" w:ascii="宋体" w:hAnsi="宋体" w:eastAsia="宋体" w:cs="宋体"/>
                <w:szCs w:val="21"/>
              </w:rPr>
            </w:pPr>
            <w:r>
              <w:rPr>
                <w:rFonts w:hint="eastAsia" w:ascii="宋体" w:hAnsi="宋体" w:eastAsia="宋体" w:cs="宋体"/>
                <w:szCs w:val="21"/>
              </w:rPr>
              <w:t>无谈判文件规定的其他投标无效情形</w:t>
            </w:r>
          </w:p>
        </w:tc>
      </w:tr>
      <w:bookmarkEnd w:id="245"/>
      <w:bookmarkEnd w:id="246"/>
    </w:tbl>
    <w:p>
      <w:pPr>
        <w:rPr>
          <w:rFonts w:hint="eastAsia" w:ascii="宋体" w:hAnsi="宋体" w:eastAsia="宋体" w:cs="宋体"/>
          <w:sz w:val="24"/>
        </w:rPr>
      </w:pPr>
      <w:bookmarkStart w:id="247" w:name="_Toc11788_WPSOffice_Level3"/>
      <w:bookmarkStart w:id="248" w:name="_Toc9044"/>
      <w:bookmarkStart w:id="249" w:name="_Toc468805876"/>
      <w:bookmarkStart w:id="250" w:name="_Toc19784_WPSOffice_Level2"/>
    </w:p>
    <w:p>
      <w:pPr>
        <w:rPr>
          <w:rFonts w:hint="eastAsia" w:ascii="宋体" w:hAnsi="宋体" w:eastAsia="宋体" w:cs="宋体"/>
        </w:rPr>
      </w:pPr>
      <w:r>
        <w:rPr>
          <w:rFonts w:hint="eastAsia" w:ascii="宋体" w:hAnsi="宋体" w:eastAsia="宋体" w:cs="宋体"/>
          <w:sz w:val="24"/>
        </w:rPr>
        <w:t>1</w:t>
      </w:r>
      <w:r>
        <w:rPr>
          <w:rFonts w:hint="eastAsia" w:ascii="宋体" w:hAnsi="宋体" w:eastAsia="宋体" w:cs="宋体"/>
          <w:sz w:val="24"/>
          <w:lang w:eastAsia="zh-CN"/>
        </w:rPr>
        <w:t>、</w:t>
      </w:r>
      <w:r>
        <w:rPr>
          <w:rFonts w:hint="eastAsia" w:ascii="宋体" w:hAnsi="宋体" w:eastAsia="宋体" w:cs="宋体"/>
          <w:sz w:val="24"/>
        </w:rPr>
        <w:t>评审方法</w:t>
      </w:r>
      <w:bookmarkEnd w:id="247"/>
      <w:bookmarkEnd w:id="248"/>
      <w:bookmarkEnd w:id="249"/>
      <w:bookmarkEnd w:id="250"/>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本次评审采用最低评标价法。谈判小组对通过资格审查、符合性审查的响应文件，从质量和服务均能满足谈判文件实质性响应要求的供应商中，按照最后报价由低到高的顺序推荐成交候选人。</w:t>
      </w:r>
    </w:p>
    <w:p>
      <w:pPr>
        <w:spacing w:line="460" w:lineRule="exact"/>
        <w:rPr>
          <w:rFonts w:hint="eastAsia" w:ascii="宋体" w:hAnsi="宋体" w:eastAsia="宋体" w:cs="宋体"/>
          <w:sz w:val="24"/>
        </w:rPr>
      </w:pPr>
      <w:bookmarkStart w:id="251" w:name="_Toc29700_WPSOffice_Level3"/>
      <w:bookmarkStart w:id="252" w:name="_Toc468805877"/>
      <w:bookmarkStart w:id="253" w:name="_Toc27224_WPSOffice_Level2"/>
      <w:bookmarkStart w:id="254" w:name="_Toc14379"/>
      <w:r>
        <w:rPr>
          <w:rFonts w:hint="eastAsia" w:ascii="宋体" w:hAnsi="宋体" w:eastAsia="宋体" w:cs="宋体"/>
          <w:sz w:val="24"/>
          <w:lang w:val="en-US" w:eastAsia="zh-CN"/>
        </w:rPr>
        <w:t>2、</w:t>
      </w:r>
      <w:r>
        <w:rPr>
          <w:rFonts w:hint="eastAsia" w:ascii="宋体" w:hAnsi="宋体" w:eastAsia="宋体" w:cs="宋体"/>
          <w:sz w:val="24"/>
        </w:rPr>
        <w:t>评审标准</w:t>
      </w:r>
      <w:bookmarkEnd w:id="251"/>
      <w:bookmarkEnd w:id="252"/>
      <w:bookmarkEnd w:id="253"/>
      <w:bookmarkEnd w:id="254"/>
    </w:p>
    <w:p>
      <w:pPr>
        <w:spacing w:line="460" w:lineRule="exact"/>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资格审查标准</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资格审查标准：依据法律法规和谈判文件的规定，对响应文件中的资格条件以及证明文件、谈判保证金等进行审查，以确定供应商是否具备投标资格；见评审办法前附表。</w:t>
      </w:r>
    </w:p>
    <w:p>
      <w:pPr>
        <w:spacing w:line="460" w:lineRule="exact"/>
        <w:ind w:firstLine="480" w:firstLineChars="200"/>
        <w:rPr>
          <w:rFonts w:hint="eastAsia" w:ascii="宋体" w:hAnsi="宋体" w:eastAsia="宋体" w:cs="宋体"/>
          <w:sz w:val="24"/>
        </w:rPr>
      </w:pPr>
      <w:bookmarkStart w:id="255" w:name="_Toc25712_WPSOffice_Level3"/>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符合性审查</w:t>
      </w:r>
      <w:bookmarkEnd w:id="255"/>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符合性审查标准：依据谈判文件的规定，对资格审查合格的响应文件从响应文件的有效性、完整性和对谈判文件的响应程度进行审查，以确定是否对谈判文件的实质性要求作出响应；见评审办法前附表。</w:t>
      </w:r>
    </w:p>
    <w:p>
      <w:pPr>
        <w:numPr>
          <w:ilvl w:val="0"/>
          <w:numId w:val="0"/>
        </w:numPr>
        <w:spacing w:line="460" w:lineRule="exact"/>
        <w:rPr>
          <w:rFonts w:hint="eastAsia" w:ascii="宋体" w:hAnsi="宋体" w:eastAsia="宋体" w:cs="宋体"/>
          <w:sz w:val="24"/>
        </w:rPr>
      </w:pPr>
      <w:bookmarkStart w:id="256" w:name="_Toc32004_WPSOffice_Level3"/>
      <w:bookmarkStart w:id="257" w:name="_Toc468805880"/>
      <w:bookmarkStart w:id="258" w:name="_Toc9155_WPSOffice_Level2"/>
      <w:bookmarkStart w:id="259" w:name="_Toc10863"/>
      <w:r>
        <w:rPr>
          <w:rFonts w:hint="eastAsia" w:ascii="宋体" w:hAnsi="宋体" w:eastAsia="宋体" w:cs="宋体"/>
          <w:sz w:val="24"/>
          <w:lang w:val="en-US" w:eastAsia="zh-CN"/>
        </w:rPr>
        <w:t>3、</w:t>
      </w:r>
      <w:r>
        <w:rPr>
          <w:rFonts w:hint="eastAsia" w:ascii="宋体" w:hAnsi="宋体" w:eastAsia="宋体" w:cs="宋体"/>
          <w:sz w:val="24"/>
        </w:rPr>
        <w:t>评审程序</w:t>
      </w:r>
      <w:bookmarkEnd w:id="256"/>
      <w:bookmarkEnd w:id="257"/>
      <w:bookmarkEnd w:id="258"/>
      <w:bookmarkEnd w:id="259"/>
    </w:p>
    <w:p>
      <w:pPr>
        <w:numPr>
          <w:ilvl w:val="0"/>
          <w:numId w:val="0"/>
        </w:numPr>
        <w:spacing w:line="46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SA"/>
        </w:rPr>
        <w:t>（1）</w:t>
      </w:r>
      <w:r>
        <w:rPr>
          <w:rFonts w:hint="eastAsia" w:ascii="宋体" w:hAnsi="宋体" w:eastAsia="宋体" w:cs="宋体"/>
          <w:kern w:val="2"/>
          <w:sz w:val="24"/>
          <w:szCs w:val="24"/>
          <w:lang w:val="en-US" w:eastAsia="zh-CN" w:bidi="ar-SA"/>
        </w:rPr>
        <w:t>资格审查</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谈判小组依据本章第1项规定的标准对响应文件进行资格审查。有一项不符合审查标准的，投标无效。</w:t>
      </w:r>
    </w:p>
    <w:p>
      <w:pPr>
        <w:spacing w:line="460" w:lineRule="exact"/>
        <w:ind w:firstLine="482" w:firstLineChars="200"/>
        <w:rPr>
          <w:rFonts w:hint="eastAsia" w:ascii="宋体" w:hAnsi="宋体" w:eastAsia="宋体" w:cs="宋体"/>
          <w:sz w:val="24"/>
        </w:rPr>
      </w:pPr>
      <w:r>
        <w:rPr>
          <w:rFonts w:hint="eastAsia" w:ascii="宋体" w:hAnsi="宋体" w:eastAsia="宋体" w:cs="宋体"/>
          <w:b/>
          <w:bCs/>
          <w:color w:val="auto"/>
          <w:sz w:val="24"/>
        </w:rPr>
        <w:t>注：合格供应商不足3家的，不再进入评审程序，作废标处理。</w:t>
      </w:r>
    </w:p>
    <w:p>
      <w:pPr>
        <w:spacing w:line="460" w:lineRule="exact"/>
        <w:ind w:firstLine="480" w:firstLineChars="200"/>
        <w:rPr>
          <w:rFonts w:hint="eastAsia" w:ascii="宋体" w:hAnsi="宋体" w:eastAsia="宋体" w:cs="宋体"/>
          <w:sz w:val="24"/>
        </w:rPr>
      </w:pPr>
      <w:bookmarkStart w:id="260" w:name="_Toc10065_WPSOffice_Level3"/>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符合性审查</w:t>
      </w:r>
      <w:bookmarkEnd w:id="260"/>
      <w:bookmarkStart w:id="274" w:name="_GoBack"/>
      <w:bookmarkEnd w:id="274"/>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谈判小组依据本章第2项规定的标准对资格审查合格的响应文件进行符合性审查。有一项不符合评审标准的，投标无效。</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提供相同品牌产品（核心产品）且通过资格审查、符合性审查的不同供应商参加同一合同项下投标的，按一家供应商计算；报价相同的，按照最有利于采购人利益的原则，由谈判小组综合评定后确定一个供应商获得成交候选人推荐资格，其他同品牌供应商不作为成交候选人。</w:t>
      </w:r>
    </w:p>
    <w:p>
      <w:pPr>
        <w:spacing w:line="460" w:lineRule="exact"/>
        <w:ind w:firstLine="480" w:firstLineChars="200"/>
        <w:rPr>
          <w:rFonts w:hint="eastAsia" w:ascii="宋体" w:hAnsi="宋体" w:eastAsia="宋体" w:cs="宋体"/>
          <w:sz w:val="24"/>
        </w:rPr>
      </w:pPr>
      <w:bookmarkStart w:id="261" w:name="_Toc468805883"/>
      <w:r>
        <w:rPr>
          <w:rFonts w:hint="eastAsia" w:ascii="宋体" w:hAnsi="宋体" w:eastAsia="宋体" w:cs="宋体"/>
          <w:b w:val="0"/>
          <w:bCs w:val="0"/>
          <w:sz w:val="24"/>
          <w:lang w:val="en-US" w:eastAsia="zh-CN"/>
        </w:rPr>
        <w:t>注意：</w:t>
      </w:r>
      <w:r>
        <w:rPr>
          <w:rFonts w:hint="eastAsia" w:ascii="宋体" w:hAnsi="宋体" w:eastAsia="宋体" w:cs="宋体"/>
          <w:b w:val="0"/>
          <w:bCs w:val="0"/>
          <w:sz w:val="24"/>
        </w:rP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投标处理。</w:t>
      </w:r>
    </w:p>
    <w:p>
      <w:pPr>
        <w:spacing w:line="460" w:lineRule="exact"/>
        <w:ind w:firstLine="480" w:firstLineChars="200"/>
        <w:rPr>
          <w:rFonts w:hint="eastAsia" w:ascii="宋体" w:hAnsi="宋体" w:eastAsia="宋体" w:cs="宋体"/>
          <w:sz w:val="24"/>
        </w:rPr>
      </w:pPr>
      <w:bookmarkStart w:id="262" w:name="_Toc19784_WPSOffice_Level3"/>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响应文件的澄清原则</w:t>
      </w:r>
      <w:bookmarkEnd w:id="261"/>
      <w:bookmarkEnd w:id="262"/>
    </w:p>
    <w:p>
      <w:pPr>
        <w:spacing w:line="460" w:lineRule="exact"/>
        <w:ind w:firstLine="720" w:firstLineChars="3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在评审过程中，谈判小组可以书面形式（应当由谈判小组专家签字）要求供应商对所提交的响应文件中含义不明确、同类问题表述不一致或者有明显文字和计算错误的内容，进行澄清、说明或者补正。谈判小组不接受供应商主动提出的澄清、说明或补正。</w:t>
      </w:r>
    </w:p>
    <w:p>
      <w:pPr>
        <w:spacing w:line="460" w:lineRule="exact"/>
        <w:ind w:firstLine="720" w:firstLineChars="3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供应商的澄清、说明和补正应当采用书面形式，并加盖公章，或者由法定代表人或其授权的代表签字。供应商的澄清、说明或者补正不得超出响应文件的范围或者改变响应文件的实质性内容。供应商的书面澄清、说明和补正属于响应文件的组成部分。</w:t>
      </w:r>
    </w:p>
    <w:p>
      <w:pPr>
        <w:spacing w:line="460" w:lineRule="exact"/>
        <w:ind w:firstLine="720" w:firstLineChars="3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谈判小组对供应商提交的澄清、说明或补正有疑问的，可以要求供应商进一步澄清、说明或补正，直至满足谈判小组的要求。</w:t>
      </w:r>
    </w:p>
    <w:p>
      <w:pPr>
        <w:spacing w:line="460" w:lineRule="exact"/>
        <w:ind w:firstLine="480" w:firstLineChars="200"/>
        <w:rPr>
          <w:rFonts w:hint="eastAsia" w:ascii="宋体" w:hAnsi="宋体" w:eastAsia="宋体" w:cs="宋体"/>
          <w:sz w:val="24"/>
        </w:rPr>
      </w:pPr>
      <w:bookmarkStart w:id="263" w:name="_Toc27224_WPSOffice_Level3"/>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lang w:eastAsia="zh-CN"/>
        </w:rPr>
        <w:t>）</w:t>
      </w:r>
      <w:r>
        <w:rPr>
          <w:rFonts w:hint="eastAsia" w:ascii="宋体" w:hAnsi="宋体" w:eastAsia="宋体" w:cs="宋体"/>
          <w:sz w:val="24"/>
        </w:rPr>
        <w:t>供应商有以下情形之一的，其投标无效：</w:t>
      </w:r>
      <w:bookmarkEnd w:id="263"/>
    </w:p>
    <w:p>
      <w:pPr>
        <w:spacing w:line="460" w:lineRule="exact"/>
        <w:ind w:firstLine="720" w:firstLineChars="300"/>
        <w:rPr>
          <w:rFonts w:hint="eastAsia" w:ascii="宋体" w:hAnsi="宋体" w:eastAsia="宋体" w:cs="宋体"/>
          <w:sz w:val="24"/>
        </w:rPr>
      </w:pPr>
      <w:r>
        <w:rPr>
          <w:rFonts w:hint="eastAsia" w:ascii="宋体" w:hAnsi="宋体" w:eastAsia="宋体" w:cs="宋体"/>
          <w:sz w:val="24"/>
        </w:rPr>
        <w:t>1）串通投标或弄虚作假或有其他违法行为的；</w:t>
      </w:r>
    </w:p>
    <w:p>
      <w:pPr>
        <w:spacing w:line="460" w:lineRule="exact"/>
        <w:ind w:firstLine="720" w:firstLineChars="300"/>
        <w:rPr>
          <w:rFonts w:hint="eastAsia" w:ascii="宋体" w:hAnsi="宋体" w:eastAsia="宋体" w:cs="宋体"/>
          <w:sz w:val="24"/>
        </w:rPr>
      </w:pPr>
      <w:r>
        <w:rPr>
          <w:rFonts w:hint="eastAsia" w:ascii="宋体" w:hAnsi="宋体" w:eastAsia="宋体" w:cs="宋体"/>
          <w:sz w:val="24"/>
        </w:rPr>
        <w:t>2）不按谈判小组要求澄清、说明或补正的。</w:t>
      </w:r>
    </w:p>
    <w:p>
      <w:pPr>
        <w:spacing w:line="460" w:lineRule="exact"/>
        <w:ind w:firstLine="480" w:firstLineChars="200"/>
        <w:rPr>
          <w:rFonts w:hint="eastAsia" w:ascii="宋体" w:hAnsi="宋体" w:eastAsia="宋体" w:cs="宋体"/>
          <w:sz w:val="24"/>
        </w:rPr>
      </w:pPr>
      <w:bookmarkStart w:id="264" w:name="_Toc9155_WPSOffice_Level3"/>
      <w:bookmarkStart w:id="265" w:name="_Toc468805884"/>
      <w:r>
        <w:rPr>
          <w:rFonts w:hint="eastAsia" w:ascii="宋体" w:hAnsi="宋体" w:eastAsia="宋体" w:cs="宋体"/>
          <w:sz w:val="24"/>
          <w:lang w:eastAsia="zh-CN"/>
        </w:rPr>
        <w:t>（</w:t>
      </w:r>
      <w:r>
        <w:rPr>
          <w:rFonts w:hint="eastAsia" w:ascii="宋体" w:hAnsi="宋体" w:eastAsia="宋体" w:cs="宋体"/>
          <w:sz w:val="24"/>
          <w:lang w:val="en-US" w:eastAsia="zh-CN"/>
        </w:rPr>
        <w:t>5</w:t>
      </w:r>
      <w:r>
        <w:rPr>
          <w:rFonts w:hint="eastAsia" w:ascii="宋体" w:hAnsi="宋体" w:eastAsia="宋体" w:cs="宋体"/>
          <w:sz w:val="24"/>
          <w:lang w:eastAsia="zh-CN"/>
        </w:rPr>
        <w:t>）</w:t>
      </w:r>
      <w:r>
        <w:rPr>
          <w:rFonts w:hint="eastAsia" w:ascii="宋体" w:hAnsi="宋体" w:eastAsia="宋体" w:cs="宋体"/>
          <w:sz w:val="24"/>
        </w:rPr>
        <w:t>评审结果</w:t>
      </w:r>
      <w:bookmarkEnd w:id="264"/>
      <w:bookmarkEnd w:id="265"/>
    </w:p>
    <w:p>
      <w:pPr>
        <w:spacing w:line="460" w:lineRule="exact"/>
        <w:ind w:firstLine="720" w:firstLineChars="3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谈判小组对通过资格审查、符合性审查的响应文件，从质量和服务均能满足谈判文件实质性响应要求的供应商中，按照最后报价由低到高的顺序推荐1-3名成交候选人，并提出书面评审报告。</w:t>
      </w:r>
    </w:p>
    <w:p>
      <w:pPr>
        <w:spacing w:line="460" w:lineRule="exact"/>
        <w:ind w:firstLine="720" w:firstLineChars="3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采购人根据谈判小组提出的书面评审报告和推荐的成交候选人名单，确定成交供应商。</w:t>
      </w:r>
    </w:p>
    <w:p>
      <w:pPr>
        <w:spacing w:line="460" w:lineRule="exact"/>
        <w:ind w:firstLine="720" w:firstLineChars="300"/>
        <w:rPr>
          <w:rFonts w:hint="eastAsia" w:ascii="宋体" w:hAnsi="宋体" w:eastAsia="宋体" w:cs="宋体"/>
          <w:sz w:val="24"/>
        </w:rPr>
      </w:pPr>
    </w:p>
    <w:p>
      <w:pPr>
        <w:spacing w:line="460" w:lineRule="exact"/>
        <w:ind w:firstLine="720" w:firstLineChars="300"/>
        <w:rPr>
          <w:rFonts w:hint="eastAsia" w:ascii="宋体" w:hAnsi="宋体" w:eastAsia="宋体" w:cs="宋体"/>
          <w:sz w:val="24"/>
        </w:rPr>
      </w:pPr>
    </w:p>
    <w:p>
      <w:pPr>
        <w:keepNext/>
        <w:keepLines/>
        <w:widowControl w:val="0"/>
        <w:tabs>
          <w:tab w:val="left" w:pos="360"/>
        </w:tabs>
        <w:adjustRightInd w:val="0"/>
        <w:spacing w:before="120" w:line="360" w:lineRule="auto"/>
        <w:ind w:left="0" w:firstLine="0"/>
        <w:jc w:val="center"/>
        <w:textAlignment w:val="baseline"/>
        <w:outlineLvl w:val="0"/>
        <w:rPr>
          <w:rFonts w:hint="eastAsia" w:ascii="宋体" w:hAnsi="宋体" w:eastAsia="宋体" w:cs="宋体"/>
          <w:b/>
          <w:bCs/>
          <w:kern w:val="44"/>
          <w:sz w:val="32"/>
          <w:szCs w:val="32"/>
          <w:lang w:val="en-US" w:eastAsia="zh-CN" w:bidi="ar-SA"/>
        </w:rPr>
        <w:sectPr>
          <w:pgSz w:w="11906" w:h="16838"/>
          <w:pgMar w:top="1440" w:right="1800" w:bottom="1440" w:left="1800" w:header="851" w:footer="992" w:gutter="0"/>
          <w:cols w:space="425" w:num="1"/>
          <w:docGrid w:type="lines" w:linePitch="312" w:charSpace="0"/>
        </w:sectPr>
      </w:pPr>
      <w:bookmarkStart w:id="266" w:name="_Toc60996703"/>
      <w:bookmarkStart w:id="267" w:name="_Toc9761_WPSOffice_Level1"/>
      <w:bookmarkStart w:id="268" w:name="_第八章_政府采购供应商质疑函范本"/>
      <w:bookmarkStart w:id="269" w:name="_Toc26723_WPSOffice_Level2"/>
      <w:bookmarkStart w:id="270" w:name="_Toc59718140"/>
      <w:bookmarkStart w:id="271" w:name="_Toc57104298"/>
    </w:p>
    <w:bookmarkEnd w:id="266"/>
    <w:bookmarkEnd w:id="267"/>
    <w:bookmarkEnd w:id="268"/>
    <w:bookmarkEnd w:id="269"/>
    <w:bookmarkEnd w:id="270"/>
    <w:bookmarkEnd w:id="271"/>
    <w:p>
      <w:pPr>
        <w:widowControl w:val="0"/>
        <w:autoSpaceDE w:val="0"/>
        <w:autoSpaceDN w:val="0"/>
        <w:adjustRightInd w:val="0"/>
        <w:rPr>
          <w:rFonts w:hint="eastAsia" w:ascii="宋体" w:hAnsi="宋体" w:eastAsia="宋体" w:cs="宋体"/>
          <w:b/>
          <w:color w:val="auto"/>
          <w:sz w:val="24"/>
          <w:szCs w:val="24"/>
          <w:lang w:val="en-US" w:eastAsia="zh-CN" w:bidi="ar-SA"/>
        </w:rPr>
      </w:pPr>
      <w:r>
        <w:rPr>
          <w:rFonts w:hint="eastAsia" w:ascii="宋体" w:hAnsi="宋体" w:eastAsia="宋体" w:cs="宋体"/>
          <w:b/>
          <w:color w:val="auto"/>
          <w:sz w:val="24"/>
          <w:szCs w:val="24"/>
          <w:lang w:val="en-US" w:eastAsia="zh-CN" w:bidi="ar-SA"/>
        </w:rPr>
        <w:t>注：此表不需装入申请文件中，请自备1-2份签字、盖章后带到谈判现场备用。</w:t>
      </w:r>
    </w:p>
    <w:p>
      <w:pPr>
        <w:bidi w:val="0"/>
        <w:jc w:val="center"/>
        <w:rPr>
          <w:rFonts w:hint="eastAsia"/>
          <w:b/>
          <w:bCs/>
          <w:sz w:val="32"/>
          <w:szCs w:val="32"/>
          <w:lang w:val="en-US" w:eastAsia="zh-CN"/>
        </w:rPr>
      </w:pPr>
      <w:bookmarkStart w:id="272" w:name="_Toc69989552"/>
      <w:r>
        <w:rPr>
          <w:rFonts w:hint="eastAsia"/>
          <w:b/>
          <w:bCs/>
          <w:sz w:val="32"/>
          <w:szCs w:val="32"/>
          <w:lang w:val="en-US" w:eastAsia="zh-CN"/>
        </w:rPr>
        <w:t>二次报价表（最终报价）</w:t>
      </w:r>
      <w:bookmarkEnd w:id="272"/>
    </w:p>
    <w:p>
      <w:pPr>
        <w:spacing w:line="360" w:lineRule="auto"/>
        <w:jc w:val="center"/>
        <w:rPr>
          <w:rFonts w:hint="eastAsia" w:ascii="宋体" w:hAnsi="宋体" w:eastAsia="宋体" w:cs="宋体"/>
          <w:b/>
          <w:bCs/>
          <w:sz w:val="28"/>
          <w:szCs w:val="28"/>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Cs w:val="21"/>
          <w:u w:val="single"/>
        </w:rPr>
      </w:pPr>
      <w:r>
        <w:rPr>
          <w:rFonts w:hint="eastAsia" w:ascii="宋体" w:hAnsi="宋体" w:eastAsia="宋体" w:cs="宋体"/>
          <w:szCs w:val="21"/>
        </w:rPr>
        <w:t>项目名称：</w:t>
      </w:r>
      <w:r>
        <w:rPr>
          <w:rFonts w:hint="eastAsia" w:ascii="宋体" w:hAnsi="宋体" w:eastAsia="宋体" w:cs="宋体"/>
          <w:szCs w:val="21"/>
          <w:u w:val="single"/>
        </w:rPr>
        <w:t xml:space="preserve">            </w:t>
      </w:r>
      <w:r>
        <w:rPr>
          <w:rFonts w:hint="eastAsia" w:ascii="宋体" w:hAnsi="宋体" w:eastAsia="宋体" w:cs="宋体"/>
          <w:szCs w:val="21"/>
        </w:rPr>
        <w:t xml:space="preserve">               采购项目编号：</w:t>
      </w:r>
      <w:r>
        <w:rPr>
          <w:rFonts w:hint="eastAsia" w:ascii="宋体" w:hAnsi="宋体" w:eastAsia="宋体" w:cs="宋体"/>
          <w:szCs w:val="21"/>
          <w:u w:val="single"/>
        </w:rPr>
        <w:t xml:space="preserve">         </w:t>
      </w:r>
    </w:p>
    <w:tbl>
      <w:tblPr>
        <w:tblStyle w:val="15"/>
        <w:tblW w:w="10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994"/>
        <w:gridCol w:w="2339"/>
        <w:gridCol w:w="2268"/>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3396" w:type="dxa"/>
            <w:gridSpan w:val="2"/>
            <w:noWrap/>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总报价</w:t>
            </w:r>
          </w:p>
        </w:tc>
        <w:tc>
          <w:tcPr>
            <w:tcW w:w="2339" w:type="dxa"/>
            <w:noWrap/>
            <w:vAlign w:val="center"/>
          </w:tcPr>
          <w:p>
            <w:pPr>
              <w:spacing w:line="400" w:lineRule="exact"/>
              <w:ind w:firstLine="2" w:firstLineChars="1"/>
              <w:jc w:val="center"/>
              <w:rPr>
                <w:rFonts w:hint="default" w:ascii="宋体" w:hAnsi="宋体" w:eastAsia="宋体" w:cs="宋体"/>
                <w:szCs w:val="21"/>
                <w:lang w:val="en-US"/>
              </w:rPr>
            </w:pPr>
            <w:r>
              <w:rPr>
                <w:rFonts w:hint="eastAsia" w:ascii="宋体" w:hAnsi="宋体" w:eastAsia="宋体" w:cs="宋体"/>
                <w:szCs w:val="21"/>
                <w:lang w:val="en-US" w:eastAsia="zh-CN"/>
              </w:rPr>
              <w:t>供货时间</w:t>
            </w:r>
          </w:p>
        </w:tc>
        <w:tc>
          <w:tcPr>
            <w:tcW w:w="2268" w:type="dxa"/>
            <w:noWrap/>
            <w:vAlign w:val="center"/>
          </w:tcPr>
          <w:p>
            <w:pPr>
              <w:spacing w:line="400" w:lineRule="exact"/>
              <w:ind w:firstLine="2" w:firstLineChars="1"/>
              <w:jc w:val="center"/>
              <w:rPr>
                <w:rFonts w:hint="eastAsia" w:ascii="宋体" w:hAnsi="宋体" w:eastAsia="宋体" w:cs="宋体"/>
                <w:szCs w:val="21"/>
                <w:lang w:eastAsia="zh-CN"/>
              </w:rPr>
            </w:pPr>
            <w:r>
              <w:rPr>
                <w:rFonts w:hint="eastAsia" w:ascii="宋体" w:hAnsi="宋体" w:eastAsia="宋体" w:cs="宋体"/>
                <w:szCs w:val="21"/>
              </w:rPr>
              <w:t>供货</w:t>
            </w:r>
            <w:r>
              <w:rPr>
                <w:rFonts w:hint="eastAsia" w:ascii="宋体" w:hAnsi="宋体" w:eastAsia="宋体" w:cs="宋体"/>
                <w:szCs w:val="21"/>
                <w:lang w:val="en-US" w:eastAsia="zh-CN"/>
              </w:rPr>
              <w:t>地点</w:t>
            </w:r>
          </w:p>
        </w:tc>
        <w:tc>
          <w:tcPr>
            <w:tcW w:w="2186" w:type="dxa"/>
            <w:noWrap/>
            <w:vAlign w:val="center"/>
          </w:tcPr>
          <w:p>
            <w:pPr>
              <w:spacing w:line="400" w:lineRule="exact"/>
              <w:ind w:firstLine="2" w:firstLineChars="1"/>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3396" w:type="dxa"/>
            <w:gridSpan w:val="2"/>
            <w:noWrap/>
            <w:vAlign w:val="center"/>
          </w:tcPr>
          <w:p>
            <w:pPr>
              <w:spacing w:line="400" w:lineRule="exact"/>
              <w:rPr>
                <w:rFonts w:hint="eastAsia" w:ascii="宋体" w:hAnsi="宋体" w:eastAsia="宋体" w:cs="宋体"/>
                <w:szCs w:val="21"/>
              </w:rPr>
            </w:pPr>
            <w:r>
              <w:rPr>
                <w:rFonts w:hint="eastAsia" w:ascii="宋体" w:hAnsi="宋体" w:eastAsia="宋体" w:cs="宋体"/>
                <w:szCs w:val="21"/>
              </w:rPr>
              <w:t>小写：</w:t>
            </w:r>
          </w:p>
          <w:p>
            <w:pPr>
              <w:spacing w:line="400" w:lineRule="exact"/>
              <w:rPr>
                <w:rFonts w:hint="eastAsia" w:ascii="宋体" w:hAnsi="宋体" w:eastAsia="宋体" w:cs="宋体"/>
                <w:szCs w:val="21"/>
              </w:rPr>
            </w:pPr>
            <w:r>
              <w:rPr>
                <w:rFonts w:hint="eastAsia" w:ascii="宋体" w:hAnsi="宋体" w:eastAsia="宋体" w:cs="宋体"/>
                <w:szCs w:val="21"/>
              </w:rPr>
              <w:t>大写：</w:t>
            </w:r>
          </w:p>
        </w:tc>
        <w:tc>
          <w:tcPr>
            <w:tcW w:w="2339" w:type="dxa"/>
            <w:noWrap/>
            <w:vAlign w:val="center"/>
          </w:tcPr>
          <w:p>
            <w:pPr>
              <w:spacing w:line="400" w:lineRule="exact"/>
              <w:rPr>
                <w:rFonts w:hint="eastAsia" w:ascii="宋体" w:hAnsi="宋体" w:eastAsia="宋体" w:cs="宋体"/>
                <w:szCs w:val="21"/>
              </w:rPr>
            </w:pPr>
          </w:p>
        </w:tc>
        <w:tc>
          <w:tcPr>
            <w:tcW w:w="2268" w:type="dxa"/>
            <w:noWrap/>
          </w:tcPr>
          <w:p>
            <w:pPr>
              <w:widowControl w:val="0"/>
              <w:spacing w:line="400" w:lineRule="exact"/>
              <w:jc w:val="both"/>
              <w:rPr>
                <w:rFonts w:hint="eastAsia" w:ascii="宋体" w:hAnsi="宋体" w:eastAsia="宋体" w:cs="宋体"/>
                <w:kern w:val="2"/>
                <w:sz w:val="21"/>
                <w:szCs w:val="20"/>
                <w:lang w:val="en-US" w:eastAsia="zh-CN" w:bidi="ar-SA"/>
              </w:rPr>
            </w:pPr>
          </w:p>
        </w:tc>
        <w:tc>
          <w:tcPr>
            <w:tcW w:w="2186" w:type="dxa"/>
            <w:noWrap/>
            <w:vAlign w:val="center"/>
          </w:tcPr>
          <w:p>
            <w:pPr>
              <w:widowControl w:val="0"/>
              <w:spacing w:line="400" w:lineRule="exact"/>
              <w:jc w:val="center"/>
              <w:rPr>
                <w:rFonts w:hint="eastAsia" w:ascii="宋体" w:hAnsi="宋体" w:eastAsia="宋体" w:cs="宋体"/>
                <w:kern w:val="2"/>
                <w:sz w:val="21"/>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4" w:hRule="atLeast"/>
          <w:jc w:val="center"/>
        </w:trPr>
        <w:tc>
          <w:tcPr>
            <w:tcW w:w="1402" w:type="dxa"/>
            <w:noWrap/>
          </w:tcPr>
          <w:p>
            <w:pPr>
              <w:spacing w:line="400" w:lineRule="exact"/>
              <w:ind w:firstLine="2" w:firstLineChars="1"/>
              <w:rPr>
                <w:rFonts w:hint="eastAsia" w:ascii="宋体" w:hAnsi="宋体" w:eastAsia="宋体" w:cs="宋体"/>
                <w:szCs w:val="21"/>
              </w:rPr>
            </w:pPr>
          </w:p>
        </w:tc>
        <w:tc>
          <w:tcPr>
            <w:tcW w:w="8787" w:type="dxa"/>
            <w:gridSpan w:val="4"/>
            <w:noWrap/>
            <w:vAlign w:val="center"/>
          </w:tcPr>
          <w:p>
            <w:pPr>
              <w:spacing w:line="400" w:lineRule="exact"/>
              <w:ind w:firstLine="2" w:firstLineChars="1"/>
              <w:rPr>
                <w:rFonts w:hint="eastAsia" w:ascii="宋体" w:hAnsi="宋体" w:eastAsia="宋体" w:cs="宋体"/>
                <w:szCs w:val="21"/>
              </w:rPr>
            </w:pPr>
            <w:r>
              <w:rPr>
                <w:rFonts w:hint="eastAsia" w:ascii="宋体" w:hAnsi="宋体" w:eastAsia="宋体" w:cs="宋体"/>
                <w:szCs w:val="21"/>
              </w:rPr>
              <w:t>供应商：（盖单位公章）</w:t>
            </w:r>
          </w:p>
          <w:p>
            <w:pPr>
              <w:spacing w:line="400" w:lineRule="exact"/>
              <w:ind w:firstLine="2" w:firstLineChars="1"/>
              <w:rPr>
                <w:rFonts w:hint="eastAsia" w:ascii="宋体" w:hAnsi="宋体" w:eastAsia="宋体" w:cs="宋体"/>
                <w:szCs w:val="21"/>
              </w:rPr>
            </w:pPr>
            <w:r>
              <w:rPr>
                <w:rFonts w:hint="eastAsia" w:ascii="宋体" w:hAnsi="宋体" w:eastAsia="宋体" w:cs="宋体"/>
                <w:szCs w:val="21"/>
              </w:rPr>
              <w:t>法定代表人或其委托代理人：（签字或盖章）</w:t>
            </w:r>
          </w:p>
          <w:p>
            <w:pPr>
              <w:adjustRightInd w:val="0"/>
              <w:snapToGrid w:val="0"/>
              <w:spacing w:line="400" w:lineRule="exact"/>
              <w:rPr>
                <w:rFonts w:hint="eastAsia" w:ascii="宋体" w:hAnsi="宋体" w:eastAsia="宋体" w:cs="宋体"/>
                <w:b/>
                <w:szCs w:val="21"/>
              </w:rPr>
            </w:pPr>
            <w:r>
              <w:rPr>
                <w:rFonts w:hint="eastAsia" w:ascii="宋体" w:hAnsi="宋体" w:eastAsia="宋体" w:cs="宋体"/>
                <w:szCs w:val="21"/>
              </w:rPr>
              <w:t>日期：年  月    日</w:t>
            </w:r>
          </w:p>
          <w:p>
            <w:pPr>
              <w:widowControl w:val="0"/>
              <w:spacing w:line="400" w:lineRule="exact"/>
              <w:jc w:val="center"/>
              <w:rPr>
                <w:rFonts w:hint="eastAsia" w:ascii="宋体" w:hAnsi="宋体" w:eastAsia="宋体" w:cs="宋体"/>
                <w:kern w:val="2"/>
                <w:sz w:val="21"/>
                <w:szCs w:val="20"/>
                <w:lang w:val="en-US" w:eastAsia="zh-CN" w:bidi="ar-SA"/>
              </w:rPr>
            </w:pPr>
          </w:p>
        </w:tc>
      </w:tr>
    </w:tbl>
    <w:p>
      <w:pPr>
        <w:widowControl w:val="0"/>
        <w:spacing w:line="400" w:lineRule="exact"/>
        <w:jc w:val="both"/>
        <w:rPr>
          <w:rFonts w:hint="eastAsia" w:ascii="宋体" w:hAnsi="宋体" w:eastAsia="宋体" w:cs="宋体"/>
          <w:kern w:val="2"/>
          <w:sz w:val="21"/>
          <w:szCs w:val="20"/>
          <w:lang w:val="en-US" w:eastAsia="zh-CN" w:bidi="ar-SA"/>
        </w:rPr>
      </w:pPr>
    </w:p>
    <w:p>
      <w:pPr>
        <w:widowControl w:val="0"/>
        <w:spacing w:line="400" w:lineRule="exact"/>
        <w:jc w:val="both"/>
        <w:rPr>
          <w:rFonts w:hint="eastAsia" w:ascii="宋体" w:hAnsi="宋体" w:eastAsia="宋体" w:cs="宋体"/>
          <w:kern w:val="2"/>
          <w:sz w:val="21"/>
          <w:szCs w:val="20"/>
          <w:lang w:val="en-US" w:eastAsia="zh-CN" w:bidi="ar-SA"/>
        </w:rPr>
      </w:pPr>
    </w:p>
    <w:p>
      <w:pPr>
        <w:adjustRightInd w:val="0"/>
        <w:snapToGrid w:val="0"/>
        <w:spacing w:line="400" w:lineRule="exact"/>
        <w:ind w:left="-88" w:leftChars="-42"/>
        <w:rPr>
          <w:rFonts w:hint="eastAsia" w:ascii="宋体" w:hAnsi="宋体" w:eastAsia="宋体" w:cs="宋体"/>
          <w:szCs w:val="21"/>
        </w:rPr>
      </w:pPr>
    </w:p>
    <w:p>
      <w:pPr>
        <w:shd w:val="clear" w:color="auto" w:fill="FFFFFF"/>
        <w:snapToGrid w:val="0"/>
        <w:spacing w:line="400" w:lineRule="exact"/>
        <w:ind w:left="851" w:hanging="851"/>
        <w:rPr>
          <w:rFonts w:hint="eastAsia" w:ascii="宋体" w:hAnsi="宋体" w:eastAsia="宋体" w:cs="宋体"/>
          <w:sz w:val="24"/>
        </w:rPr>
      </w:pPr>
      <w:r>
        <w:rPr>
          <w:rFonts w:hint="eastAsia" w:ascii="宋体" w:hAnsi="宋体" w:eastAsia="宋体" w:cs="宋体"/>
          <w:sz w:val="24"/>
        </w:rPr>
        <w:t> </w:t>
      </w:r>
    </w:p>
    <w:p>
      <w:pPr>
        <w:widowControl w:val="0"/>
        <w:spacing w:line="360" w:lineRule="auto"/>
        <w:jc w:val="both"/>
        <w:rPr>
          <w:rFonts w:hint="eastAsia" w:ascii="宋体" w:hAnsi="宋体" w:eastAsia="宋体" w:cs="宋体"/>
          <w:kern w:val="2"/>
          <w:sz w:val="21"/>
          <w:szCs w:val="21"/>
          <w:lang w:val="en-US" w:eastAsia="zh-CN" w:bidi="ar-SA"/>
        </w:rPr>
      </w:pPr>
    </w:p>
    <w:p>
      <w:pPr>
        <w:widowControl w:val="0"/>
        <w:spacing w:line="360" w:lineRule="auto"/>
        <w:jc w:val="both"/>
        <w:rPr>
          <w:rFonts w:hint="eastAsia" w:ascii="宋体" w:hAnsi="宋体" w:eastAsia="宋体" w:cs="宋体"/>
          <w:kern w:val="2"/>
          <w:sz w:val="21"/>
          <w:szCs w:val="21"/>
          <w:lang w:val="en-US" w:eastAsia="zh-CN" w:bidi="ar-SA"/>
        </w:rPr>
      </w:pPr>
    </w:p>
    <w:p>
      <w:pPr>
        <w:rPr>
          <w:rFonts w:hint="eastAsia" w:ascii="宋体" w:hAnsi="宋体" w:eastAsia="宋体" w:cs="宋体"/>
          <w:sz w:val="24"/>
        </w:rPr>
      </w:pPr>
    </w:p>
    <w:p>
      <w:pPr>
        <w:keepNext/>
        <w:widowControl w:val="0"/>
        <w:tabs>
          <w:tab w:val="left" w:pos="360"/>
          <w:tab w:val="left" w:pos="1021"/>
        </w:tabs>
        <w:adjustRightInd w:val="0"/>
        <w:spacing w:before="120" w:after="120" w:line="480" w:lineRule="exact"/>
        <w:jc w:val="both"/>
        <w:textAlignment w:val="baseline"/>
        <w:outlineLvl w:val="1"/>
        <w:rPr>
          <w:rFonts w:hint="eastAsia" w:ascii="宋体" w:hAnsi="宋体" w:eastAsia="宋体" w:cs="宋体"/>
          <w:b/>
          <w:kern w:val="0"/>
          <w:sz w:val="36"/>
          <w:szCs w:val="36"/>
          <w:lang w:val="en-US" w:eastAsia="zh-CN" w:bidi="ar-SA"/>
        </w:rPr>
        <w:sectPr>
          <w:pgSz w:w="11906" w:h="16838"/>
          <w:pgMar w:top="1440" w:right="1800" w:bottom="1440" w:left="1800" w:header="851" w:footer="992" w:gutter="0"/>
          <w:cols w:space="425" w:num="1"/>
          <w:docGrid w:type="lines" w:linePitch="312" w:charSpace="0"/>
        </w:sectPr>
      </w:pPr>
      <w:bookmarkStart w:id="273" w:name="_Toc69989553"/>
    </w:p>
    <w:p>
      <w:pPr>
        <w:bidi w:val="0"/>
        <w:jc w:val="center"/>
        <w:rPr>
          <w:rFonts w:hint="eastAsia"/>
          <w:b/>
          <w:bCs/>
          <w:sz w:val="32"/>
          <w:szCs w:val="32"/>
          <w:lang w:val="zh-CN" w:eastAsia="zh-CN"/>
        </w:rPr>
      </w:pPr>
      <w:r>
        <w:rPr>
          <w:rFonts w:hint="eastAsia"/>
          <w:b/>
          <w:bCs/>
          <w:sz w:val="32"/>
          <w:szCs w:val="32"/>
          <w:lang w:val="en-US" w:eastAsia="zh-CN"/>
        </w:rPr>
        <w:t>二次报价明细表</w:t>
      </w:r>
      <w:bookmarkEnd w:id="273"/>
    </w:p>
    <w:p>
      <w:pPr>
        <w:spacing w:line="400" w:lineRule="exact"/>
        <w:rPr>
          <w:rFonts w:hint="eastAsia" w:ascii="宋体" w:hAnsi="宋体" w:eastAsia="宋体" w:cs="宋体"/>
          <w:szCs w:val="21"/>
          <w:u w:val="single"/>
        </w:rPr>
      </w:pPr>
      <w:r>
        <w:rPr>
          <w:rFonts w:hint="eastAsia" w:ascii="宋体" w:hAnsi="宋体" w:eastAsia="宋体" w:cs="宋体"/>
          <w:szCs w:val="21"/>
        </w:rPr>
        <w:t>项目名称：</w:t>
      </w:r>
      <w:r>
        <w:rPr>
          <w:rFonts w:hint="eastAsia" w:ascii="宋体" w:hAnsi="宋体" w:eastAsia="宋体" w:cs="宋体"/>
          <w:szCs w:val="21"/>
          <w:u w:val="single"/>
        </w:rPr>
        <w:t xml:space="preserve">              </w:t>
      </w:r>
      <w:r>
        <w:rPr>
          <w:rFonts w:hint="eastAsia" w:ascii="宋体" w:hAnsi="宋体" w:eastAsia="宋体" w:cs="宋体"/>
          <w:szCs w:val="21"/>
        </w:rPr>
        <w:t xml:space="preserve">             采购项目编号：</w:t>
      </w:r>
      <w:r>
        <w:rPr>
          <w:rFonts w:hint="eastAsia" w:ascii="宋体" w:hAnsi="宋体" w:eastAsia="宋体" w:cs="宋体"/>
          <w:szCs w:val="21"/>
          <w:u w:val="single"/>
        </w:rPr>
        <w:t xml:space="preserve">           </w:t>
      </w:r>
      <w:r>
        <w:rPr>
          <w:rFonts w:hint="eastAsia" w:ascii="宋体" w:hAnsi="宋体" w:eastAsia="宋体" w:cs="宋体"/>
          <w:szCs w:val="21"/>
        </w:rPr>
        <w:t xml:space="preserve">      货币单位:元  </w:t>
      </w:r>
    </w:p>
    <w:tbl>
      <w:tblPr>
        <w:tblStyle w:val="15"/>
        <w:tblpPr w:leftFromText="180" w:rightFromText="180" w:vertAnchor="text" w:horzAnchor="page" w:tblpXSpec="center" w:tblpY="579"/>
        <w:tblOverlap w:val="never"/>
        <w:tblW w:w="67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690"/>
        <w:gridCol w:w="1020"/>
        <w:gridCol w:w="1110"/>
        <w:gridCol w:w="1140"/>
        <w:gridCol w:w="825"/>
        <w:gridCol w:w="705"/>
        <w:gridCol w:w="121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vMerge w:val="restart"/>
            <w:tcBorders>
              <w:top w:val="double" w:color="auto" w:sz="4" w:space="0"/>
              <w:left w:val="double" w:color="auto" w:sz="4" w:space="0"/>
              <w:right w:val="sing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序号</w:t>
            </w:r>
          </w:p>
        </w:tc>
        <w:tc>
          <w:tcPr>
            <w:tcW w:w="1020" w:type="dxa"/>
            <w:vMerge w:val="restart"/>
            <w:tcBorders>
              <w:top w:val="double" w:color="auto" w:sz="4" w:space="0"/>
              <w:left w:val="single" w:color="auto" w:sz="4" w:space="0"/>
              <w:right w:val="single" w:color="000000" w:sz="6" w:space="0"/>
            </w:tcBorders>
            <w:noWrap/>
            <w:vAlign w:val="center"/>
          </w:tcPr>
          <w:p>
            <w:pPr>
              <w:spacing w:line="400" w:lineRule="exact"/>
              <w:ind w:left="198" w:hanging="198" w:hangingChars="94"/>
              <w:jc w:val="center"/>
              <w:rPr>
                <w:rFonts w:hint="eastAsia" w:ascii="宋体" w:hAnsi="宋体" w:eastAsia="宋体" w:cs="宋体"/>
                <w:b/>
                <w:szCs w:val="21"/>
              </w:rPr>
            </w:pPr>
            <w:r>
              <w:rPr>
                <w:rFonts w:hint="eastAsia" w:ascii="宋体" w:hAnsi="宋体" w:eastAsia="宋体" w:cs="宋体"/>
                <w:b/>
                <w:szCs w:val="21"/>
              </w:rPr>
              <w:t>货物名称</w:t>
            </w:r>
          </w:p>
        </w:tc>
        <w:tc>
          <w:tcPr>
            <w:tcW w:w="1110" w:type="dxa"/>
            <w:vMerge w:val="restart"/>
            <w:tcBorders>
              <w:top w:val="double" w:color="auto" w:sz="4" w:space="0"/>
              <w:left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规格型号</w:t>
            </w:r>
          </w:p>
        </w:tc>
        <w:tc>
          <w:tcPr>
            <w:tcW w:w="1140" w:type="dxa"/>
            <w:vMerge w:val="restart"/>
            <w:tcBorders>
              <w:top w:val="double" w:color="auto" w:sz="4" w:space="0"/>
              <w:left w:val="single" w:color="000000" w:sz="6" w:space="0"/>
              <w:right w:val="single" w:color="000000" w:sz="6"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数量</w:t>
            </w:r>
          </w:p>
        </w:tc>
        <w:tc>
          <w:tcPr>
            <w:tcW w:w="1530" w:type="dxa"/>
            <w:gridSpan w:val="2"/>
            <w:tcBorders>
              <w:top w:val="double" w:color="auto" w:sz="4" w:space="0"/>
              <w:left w:val="single" w:color="000000" w:sz="6" w:space="0"/>
              <w:bottom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价格</w:t>
            </w:r>
          </w:p>
        </w:tc>
        <w:tc>
          <w:tcPr>
            <w:tcW w:w="1215" w:type="dxa"/>
            <w:vMerge w:val="restart"/>
            <w:tcBorders>
              <w:top w:val="double" w:color="auto" w:sz="4" w:space="0"/>
              <w:left w:val="single" w:color="000000" w:sz="6" w:space="0"/>
              <w:right w:val="double" w:color="auto" w:sz="4" w:space="0"/>
            </w:tcBorders>
            <w:noWrap/>
            <w:vAlign w:val="center"/>
          </w:tcPr>
          <w:p>
            <w:pPr>
              <w:tabs>
                <w:tab w:val="left" w:pos="572"/>
              </w:tabs>
              <w:spacing w:line="400" w:lineRule="exact"/>
              <w:jc w:val="center"/>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17" w:hRule="atLeast"/>
          <w:jc w:val="center"/>
        </w:trPr>
        <w:tc>
          <w:tcPr>
            <w:tcW w:w="690" w:type="dxa"/>
            <w:vMerge w:val="continue"/>
            <w:tcBorders>
              <w:left w:val="double" w:color="auto" w:sz="4" w:space="0"/>
              <w:bottom w:val="single" w:color="auto" w:sz="4" w:space="0"/>
              <w:right w:val="single" w:color="auto" w:sz="4" w:space="0"/>
            </w:tcBorders>
            <w:noWrap/>
            <w:vAlign w:val="center"/>
          </w:tcPr>
          <w:p>
            <w:pPr>
              <w:spacing w:line="400" w:lineRule="exact"/>
              <w:rPr>
                <w:rFonts w:hint="eastAsia" w:ascii="宋体" w:hAnsi="宋体" w:eastAsia="宋体" w:cs="宋体"/>
              </w:rPr>
            </w:pPr>
          </w:p>
        </w:tc>
        <w:tc>
          <w:tcPr>
            <w:tcW w:w="1020" w:type="dxa"/>
            <w:vMerge w:val="continue"/>
            <w:tcBorders>
              <w:left w:val="single" w:color="auto" w:sz="4" w:space="0"/>
              <w:bottom w:val="single" w:color="auto" w:sz="4" w:space="0"/>
              <w:right w:val="single" w:color="000000" w:sz="6" w:space="0"/>
            </w:tcBorders>
            <w:noWrap/>
            <w:vAlign w:val="center"/>
          </w:tcPr>
          <w:p>
            <w:pPr>
              <w:spacing w:line="400" w:lineRule="exact"/>
              <w:rPr>
                <w:rFonts w:hint="eastAsia" w:ascii="宋体" w:hAnsi="宋体" w:eastAsia="宋体" w:cs="宋体"/>
              </w:rPr>
            </w:pPr>
          </w:p>
        </w:tc>
        <w:tc>
          <w:tcPr>
            <w:tcW w:w="1110" w:type="dxa"/>
            <w:vMerge w:val="continue"/>
            <w:tcBorders>
              <w:left w:val="single" w:color="000000" w:sz="6" w:space="0"/>
              <w:bottom w:val="single" w:color="auto" w:sz="4" w:space="0"/>
              <w:right w:val="single" w:color="auto" w:sz="4" w:space="0"/>
            </w:tcBorders>
            <w:noWrap/>
            <w:vAlign w:val="center"/>
          </w:tcPr>
          <w:p>
            <w:pPr>
              <w:spacing w:line="400" w:lineRule="exact"/>
              <w:rPr>
                <w:rFonts w:hint="eastAsia" w:ascii="宋体" w:hAnsi="宋体" w:eastAsia="宋体" w:cs="宋体"/>
              </w:rPr>
            </w:pPr>
          </w:p>
        </w:tc>
        <w:tc>
          <w:tcPr>
            <w:tcW w:w="1140" w:type="dxa"/>
            <w:vMerge w:val="continue"/>
            <w:tcBorders>
              <w:left w:val="single" w:color="000000" w:sz="6" w:space="0"/>
              <w:bottom w:val="single" w:color="auto" w:sz="4" w:space="0"/>
              <w:right w:val="single" w:color="000000" w:sz="6" w:space="0"/>
            </w:tcBorders>
            <w:noWrap/>
            <w:vAlign w:val="center"/>
          </w:tcPr>
          <w:p>
            <w:pPr>
              <w:spacing w:line="400" w:lineRule="exact"/>
              <w:rPr>
                <w:rFonts w:hint="eastAsia" w:ascii="宋体" w:hAnsi="宋体" w:eastAsia="宋体" w:cs="宋体"/>
              </w:rPr>
            </w:pPr>
          </w:p>
        </w:tc>
        <w:tc>
          <w:tcPr>
            <w:tcW w:w="825" w:type="dxa"/>
            <w:tcBorders>
              <w:top w:val="single" w:color="auto" w:sz="4" w:space="0"/>
              <w:left w:val="single" w:color="000000" w:sz="6" w:space="0"/>
              <w:bottom w:val="single" w:color="auto" w:sz="4" w:space="0"/>
              <w:right w:val="single" w:color="000000" w:sz="6"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单价</w:t>
            </w:r>
          </w:p>
        </w:tc>
        <w:tc>
          <w:tcPr>
            <w:tcW w:w="705" w:type="dxa"/>
            <w:tcBorders>
              <w:top w:val="single" w:color="auto" w:sz="4" w:space="0"/>
              <w:left w:val="single" w:color="000000" w:sz="6" w:space="0"/>
              <w:bottom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合计</w:t>
            </w:r>
          </w:p>
        </w:tc>
        <w:tc>
          <w:tcPr>
            <w:tcW w:w="1215" w:type="dxa"/>
            <w:vMerge w:val="continue"/>
            <w:tcBorders>
              <w:left w:val="single" w:color="000000" w:sz="6" w:space="0"/>
              <w:bottom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auto" w:sz="4"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1</w:t>
            </w:r>
          </w:p>
        </w:tc>
        <w:tc>
          <w:tcPr>
            <w:tcW w:w="1020" w:type="dxa"/>
            <w:tcBorders>
              <w:top w:val="single" w:color="auto" w:sz="4"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auto" w:sz="4" w:space="0"/>
              <w:left w:val="single" w:color="000000" w:sz="6" w:space="0"/>
              <w:bottom w:val="single" w:color="000000" w:sz="6" w:space="0"/>
              <w:right w:val="sing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1140" w:type="dxa"/>
            <w:tcBorders>
              <w:top w:val="single" w:color="auto" w:sz="4"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825" w:type="dxa"/>
            <w:tcBorders>
              <w:top w:val="single" w:color="auto" w:sz="4"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705" w:type="dxa"/>
            <w:tcBorders>
              <w:top w:val="single" w:color="auto" w:sz="4" w:space="0"/>
              <w:left w:val="single" w:color="000000" w:sz="6" w:space="0"/>
              <w:bottom w:val="single" w:color="auto" w:sz="4" w:space="0"/>
              <w:right w:val="double" w:color="auto" w:sz="4" w:space="0"/>
            </w:tcBorders>
            <w:noWrap/>
            <w:vAlign w:val="center"/>
          </w:tcPr>
          <w:p>
            <w:pPr>
              <w:spacing w:line="400" w:lineRule="exact"/>
              <w:rPr>
                <w:rFonts w:hint="eastAsia" w:ascii="宋体" w:hAnsi="宋体" w:eastAsia="宋体" w:cs="宋体"/>
                <w:szCs w:val="21"/>
              </w:rPr>
            </w:pPr>
          </w:p>
        </w:tc>
        <w:tc>
          <w:tcPr>
            <w:tcW w:w="1215" w:type="dxa"/>
            <w:tcBorders>
              <w:top w:val="single" w:color="auto" w:sz="4" w:space="0"/>
              <w:left w:val="single" w:color="000000" w:sz="6" w:space="0"/>
              <w:bottom w:val="single" w:color="auto" w:sz="4" w:space="0"/>
              <w:right w:val="double" w:color="auto" w:sz="4" w:space="0"/>
            </w:tcBorders>
            <w:noWrap/>
            <w:vAlign w:val="center"/>
          </w:tcPr>
          <w:p>
            <w:pPr>
              <w:spacing w:line="400" w:lineRule="exact"/>
              <w:jc w:val="center"/>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2</w:t>
            </w: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000000" w:sz="6" w:space="0"/>
              <w:left w:val="single" w:color="000000" w:sz="6" w:space="0"/>
              <w:bottom w:val="single" w:color="000000" w:sz="6" w:space="0"/>
              <w:right w:val="sing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114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82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705" w:type="dxa"/>
            <w:vMerge w:val="restart"/>
            <w:tcBorders>
              <w:top w:val="single" w:color="auto" w:sz="4" w:space="0"/>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c>
          <w:tcPr>
            <w:tcW w:w="1215" w:type="dxa"/>
            <w:vMerge w:val="restart"/>
            <w:tcBorders>
              <w:top w:val="single" w:color="auto" w:sz="4" w:space="0"/>
              <w:left w:val="single" w:color="000000" w:sz="6" w:space="0"/>
              <w:right w:val="double" w:color="auto" w:sz="4" w:space="0"/>
            </w:tcBorders>
            <w:noWrap/>
            <w:vAlign w:val="center"/>
          </w:tcPr>
          <w:p>
            <w:pPr>
              <w:spacing w:line="400" w:lineRule="exact"/>
              <w:jc w:val="center"/>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w:t>
            </w: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000000" w:sz="6" w:space="0"/>
              <w:left w:val="single" w:color="000000" w:sz="6" w:space="0"/>
              <w:bottom w:val="single" w:color="000000" w:sz="6" w:space="0"/>
              <w:right w:val="sing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114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82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705" w:type="dxa"/>
            <w:vMerge w:val="continue"/>
            <w:tcBorders>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c>
          <w:tcPr>
            <w:tcW w:w="1215" w:type="dxa"/>
            <w:vMerge w:val="continue"/>
            <w:tcBorders>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000000" w:sz="6" w:space="0"/>
              <w:left w:val="single" w:color="000000" w:sz="6" w:space="0"/>
              <w:bottom w:val="single" w:color="000000" w:sz="6" w:space="0"/>
              <w:right w:val="sing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114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82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705" w:type="dxa"/>
            <w:vMerge w:val="continue"/>
            <w:tcBorders>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c>
          <w:tcPr>
            <w:tcW w:w="1215" w:type="dxa"/>
            <w:vMerge w:val="continue"/>
            <w:tcBorders>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000000" w:sz="6" w:space="0"/>
              <w:left w:val="single" w:color="000000" w:sz="6" w:space="0"/>
              <w:bottom w:val="single" w:color="000000" w:sz="6" w:space="0"/>
              <w:right w:val="sing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114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82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spacing w:line="400" w:lineRule="exact"/>
              <w:ind w:left="907" w:hanging="907"/>
              <w:textAlignment w:val="center"/>
              <w:rPr>
                <w:rFonts w:hint="eastAsia" w:ascii="宋体" w:hAnsi="宋体" w:eastAsia="宋体" w:cs="宋体"/>
                <w:bCs/>
                <w:szCs w:val="21"/>
              </w:rPr>
            </w:pPr>
          </w:p>
        </w:tc>
        <w:tc>
          <w:tcPr>
            <w:tcW w:w="705" w:type="dxa"/>
            <w:vMerge w:val="continue"/>
            <w:tcBorders>
              <w:left w:val="single" w:color="000000" w:sz="6" w:space="0"/>
              <w:bottom w:val="single" w:color="auto" w:sz="4" w:space="0"/>
              <w:right w:val="double" w:color="auto" w:sz="4" w:space="0"/>
            </w:tcBorders>
            <w:noWrap/>
            <w:vAlign w:val="center"/>
          </w:tcPr>
          <w:p>
            <w:pPr>
              <w:spacing w:line="400" w:lineRule="exact"/>
              <w:rPr>
                <w:rFonts w:hint="eastAsia" w:ascii="宋体" w:hAnsi="宋体" w:eastAsia="宋体" w:cs="宋体"/>
                <w:szCs w:val="21"/>
              </w:rPr>
            </w:pPr>
          </w:p>
        </w:tc>
        <w:tc>
          <w:tcPr>
            <w:tcW w:w="1215" w:type="dxa"/>
            <w:vMerge w:val="continue"/>
            <w:tcBorders>
              <w:left w:val="single" w:color="000000" w:sz="6" w:space="0"/>
              <w:bottom w:val="single" w:color="auto" w:sz="4" w:space="0"/>
              <w:right w:val="double" w:color="auto" w:sz="4" w:space="0"/>
            </w:tcBorders>
            <w:noWrap/>
            <w:vAlign w:val="center"/>
          </w:tcPr>
          <w:p>
            <w:pPr>
              <w:spacing w:line="400" w:lineRule="exact"/>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double" w:color="auto" w:sz="4"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1020" w:type="dxa"/>
            <w:tcBorders>
              <w:top w:val="double" w:color="auto" w:sz="4" w:space="0"/>
              <w:left w:val="single" w:color="auto" w:sz="4" w:space="0"/>
              <w:bottom w:val="single" w:color="000000" w:sz="6" w:space="0"/>
              <w:right w:val="single" w:color="000000" w:sz="6" w:space="0"/>
            </w:tcBorders>
            <w:noWrap/>
            <w:vAlign w:val="center"/>
          </w:tcPr>
          <w:p>
            <w:pPr>
              <w:spacing w:line="400" w:lineRule="exact"/>
              <w:jc w:val="center"/>
              <w:rPr>
                <w:rFonts w:hint="eastAsia" w:ascii="宋体" w:hAnsi="宋体" w:eastAsia="宋体" w:cs="宋体"/>
                <w:b/>
                <w:szCs w:val="21"/>
              </w:rPr>
            </w:pPr>
          </w:p>
        </w:tc>
        <w:tc>
          <w:tcPr>
            <w:tcW w:w="1110" w:type="dxa"/>
            <w:tcBorders>
              <w:top w:val="double" w:color="auto" w:sz="4" w:space="0"/>
              <w:left w:val="single" w:color="auto" w:sz="4" w:space="0"/>
              <w:bottom w:val="single" w:color="000000" w:sz="6" w:space="0"/>
              <w:right w:val="single" w:color="auto" w:sz="4" w:space="0"/>
            </w:tcBorders>
            <w:noWrap/>
          </w:tcPr>
          <w:p>
            <w:pPr>
              <w:spacing w:line="400" w:lineRule="exact"/>
              <w:jc w:val="center"/>
              <w:rPr>
                <w:rFonts w:hint="eastAsia" w:ascii="宋体" w:hAnsi="宋体" w:eastAsia="宋体" w:cs="宋体"/>
                <w:b/>
                <w:szCs w:val="21"/>
              </w:rPr>
            </w:pPr>
          </w:p>
        </w:tc>
        <w:tc>
          <w:tcPr>
            <w:tcW w:w="1140" w:type="dxa"/>
            <w:tcBorders>
              <w:top w:val="double" w:color="auto" w:sz="4" w:space="0"/>
              <w:left w:val="single" w:color="auto" w:sz="4" w:space="0"/>
              <w:bottom w:val="single" w:color="000000" w:sz="6" w:space="0"/>
              <w:right w:val="single" w:color="000000" w:sz="6" w:space="0"/>
            </w:tcBorders>
            <w:noWrap/>
          </w:tcPr>
          <w:p>
            <w:pPr>
              <w:spacing w:line="400" w:lineRule="exact"/>
              <w:jc w:val="center"/>
              <w:rPr>
                <w:rFonts w:hint="eastAsia" w:ascii="宋体" w:hAnsi="宋体" w:eastAsia="宋体" w:cs="宋体"/>
                <w:b/>
                <w:szCs w:val="21"/>
              </w:rPr>
            </w:pPr>
          </w:p>
        </w:tc>
        <w:tc>
          <w:tcPr>
            <w:tcW w:w="825" w:type="dxa"/>
            <w:tcBorders>
              <w:top w:val="double" w:color="auto" w:sz="4" w:space="0"/>
              <w:left w:val="single" w:color="000000" w:sz="6" w:space="0"/>
              <w:bottom w:val="single" w:color="auto" w:sz="4"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705" w:type="dxa"/>
            <w:vMerge w:val="restart"/>
            <w:tcBorders>
              <w:top w:val="double" w:color="auto" w:sz="4" w:space="0"/>
              <w:left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p>
        </w:tc>
        <w:tc>
          <w:tcPr>
            <w:tcW w:w="1215" w:type="dxa"/>
            <w:vMerge w:val="restart"/>
            <w:tcBorders>
              <w:top w:val="double" w:color="auto" w:sz="4" w:space="0"/>
              <w:left w:val="single" w:color="000000" w:sz="6" w:space="0"/>
              <w:right w:val="double" w:color="auto" w:sz="4" w:space="0"/>
            </w:tcBorders>
            <w:noWrap/>
            <w:vAlign w:val="center"/>
          </w:tcPr>
          <w:p>
            <w:pPr>
              <w:adjustRightInd w:val="0"/>
              <w:snapToGrid w:val="0"/>
              <w:spacing w:line="400" w:lineRule="exact"/>
              <w:ind w:left="907" w:hanging="907"/>
              <w:jc w:val="center"/>
              <w:textAlignment w:val="center"/>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jc w:val="center"/>
              <w:rPr>
                <w:rFonts w:hint="eastAsia" w:ascii="宋体" w:hAnsi="宋体" w:eastAsia="宋体" w:cs="宋体"/>
                <w:b/>
                <w:szCs w:val="21"/>
              </w:rPr>
            </w:pPr>
          </w:p>
        </w:tc>
        <w:tc>
          <w:tcPr>
            <w:tcW w:w="1110" w:type="dxa"/>
            <w:tcBorders>
              <w:top w:val="single" w:color="000000" w:sz="6" w:space="0"/>
              <w:left w:val="single" w:color="auto" w:sz="4" w:space="0"/>
              <w:bottom w:val="single" w:color="000000" w:sz="6" w:space="0"/>
              <w:right w:val="single" w:color="auto" w:sz="4" w:space="0"/>
            </w:tcBorders>
            <w:noWrap/>
          </w:tcPr>
          <w:p>
            <w:pPr>
              <w:spacing w:line="400" w:lineRule="exact"/>
              <w:jc w:val="center"/>
              <w:rPr>
                <w:rFonts w:hint="eastAsia" w:ascii="宋体" w:hAnsi="宋体" w:eastAsia="宋体" w:cs="宋体"/>
                <w:b/>
                <w:szCs w:val="21"/>
              </w:rPr>
            </w:pPr>
          </w:p>
        </w:tc>
        <w:tc>
          <w:tcPr>
            <w:tcW w:w="1140" w:type="dxa"/>
            <w:tcBorders>
              <w:top w:val="single" w:color="000000" w:sz="6" w:space="0"/>
              <w:left w:val="single" w:color="auto" w:sz="4" w:space="0"/>
              <w:bottom w:val="single" w:color="000000" w:sz="6" w:space="0"/>
              <w:right w:val="single" w:color="000000" w:sz="6" w:space="0"/>
            </w:tcBorders>
            <w:noWrap/>
          </w:tcPr>
          <w:p>
            <w:pPr>
              <w:spacing w:line="400" w:lineRule="exact"/>
              <w:jc w:val="center"/>
              <w:rPr>
                <w:rFonts w:hint="eastAsia" w:ascii="宋体" w:hAnsi="宋体" w:eastAsia="宋体" w:cs="宋体"/>
                <w:b/>
                <w:szCs w:val="21"/>
              </w:rPr>
            </w:pPr>
          </w:p>
        </w:tc>
        <w:tc>
          <w:tcPr>
            <w:tcW w:w="825" w:type="dxa"/>
            <w:tcBorders>
              <w:top w:val="single" w:color="auto" w:sz="4" w:space="0"/>
              <w:left w:val="single" w:color="000000" w:sz="6" w:space="0"/>
              <w:bottom w:val="single" w:color="auto" w:sz="4"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705" w:type="dxa"/>
            <w:vMerge w:val="continue"/>
            <w:tcBorders>
              <w:left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p>
        </w:tc>
        <w:tc>
          <w:tcPr>
            <w:tcW w:w="1215" w:type="dxa"/>
            <w:vMerge w:val="continue"/>
            <w:tcBorders>
              <w:left w:val="single" w:color="000000" w:sz="6" w:space="0"/>
              <w:right w:val="doub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1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jc w:val="center"/>
              <w:rPr>
                <w:rFonts w:hint="eastAsia" w:ascii="宋体" w:hAnsi="宋体" w:eastAsia="宋体" w:cs="宋体"/>
                <w:b/>
                <w:szCs w:val="21"/>
              </w:rPr>
            </w:pPr>
          </w:p>
        </w:tc>
        <w:tc>
          <w:tcPr>
            <w:tcW w:w="1110" w:type="dxa"/>
            <w:tcBorders>
              <w:top w:val="single" w:color="000000" w:sz="6" w:space="0"/>
              <w:left w:val="single" w:color="auto" w:sz="4" w:space="0"/>
              <w:bottom w:val="single" w:color="000000" w:sz="6" w:space="0"/>
              <w:right w:val="single" w:color="auto" w:sz="4" w:space="0"/>
            </w:tcBorders>
            <w:noWrap/>
          </w:tcPr>
          <w:p>
            <w:pPr>
              <w:spacing w:line="400" w:lineRule="exact"/>
              <w:jc w:val="center"/>
              <w:rPr>
                <w:rFonts w:hint="eastAsia" w:ascii="宋体" w:hAnsi="宋体" w:eastAsia="宋体" w:cs="宋体"/>
                <w:b/>
                <w:szCs w:val="21"/>
              </w:rPr>
            </w:pPr>
          </w:p>
        </w:tc>
        <w:tc>
          <w:tcPr>
            <w:tcW w:w="1140" w:type="dxa"/>
            <w:tcBorders>
              <w:top w:val="single" w:color="000000" w:sz="6" w:space="0"/>
              <w:left w:val="single" w:color="auto" w:sz="4" w:space="0"/>
              <w:bottom w:val="single" w:color="000000" w:sz="6" w:space="0"/>
              <w:right w:val="single" w:color="000000" w:sz="6" w:space="0"/>
            </w:tcBorders>
            <w:noWrap/>
          </w:tcPr>
          <w:p>
            <w:pPr>
              <w:spacing w:line="400" w:lineRule="exact"/>
              <w:jc w:val="center"/>
              <w:rPr>
                <w:rFonts w:hint="eastAsia" w:ascii="宋体" w:hAnsi="宋体" w:eastAsia="宋体" w:cs="宋体"/>
                <w:b/>
                <w:szCs w:val="21"/>
              </w:rPr>
            </w:pPr>
          </w:p>
        </w:tc>
        <w:tc>
          <w:tcPr>
            <w:tcW w:w="825" w:type="dxa"/>
            <w:tcBorders>
              <w:top w:val="single" w:color="auto" w:sz="4" w:space="0"/>
              <w:left w:val="single" w:color="000000" w:sz="6" w:space="0"/>
              <w:bottom w:val="single" w:color="auto" w:sz="4" w:space="0"/>
              <w:right w:val="single" w:color="auto" w:sz="4" w:space="0"/>
            </w:tcBorders>
            <w:noWrap/>
            <w:vAlign w:val="center"/>
          </w:tcPr>
          <w:p>
            <w:pPr>
              <w:spacing w:line="400" w:lineRule="exact"/>
              <w:jc w:val="center"/>
              <w:rPr>
                <w:rFonts w:hint="eastAsia" w:ascii="宋体" w:hAnsi="宋体" w:eastAsia="宋体" w:cs="宋体"/>
                <w:b/>
                <w:szCs w:val="21"/>
              </w:rPr>
            </w:pPr>
          </w:p>
        </w:tc>
        <w:tc>
          <w:tcPr>
            <w:tcW w:w="705" w:type="dxa"/>
            <w:vMerge w:val="continue"/>
            <w:tcBorders>
              <w:left w:val="single" w:color="auto" w:sz="4" w:space="0"/>
              <w:right w:val="double" w:color="auto" w:sz="4" w:space="0"/>
            </w:tcBorders>
            <w:noWrap/>
            <w:vAlign w:val="center"/>
          </w:tcPr>
          <w:p>
            <w:pPr>
              <w:spacing w:line="400" w:lineRule="exact"/>
              <w:jc w:val="center"/>
              <w:rPr>
                <w:rFonts w:hint="eastAsia" w:ascii="宋体" w:hAnsi="宋体" w:eastAsia="宋体" w:cs="宋体"/>
                <w:b/>
                <w:szCs w:val="21"/>
              </w:rPr>
            </w:pPr>
          </w:p>
        </w:tc>
        <w:tc>
          <w:tcPr>
            <w:tcW w:w="1215" w:type="dxa"/>
            <w:vMerge w:val="continue"/>
            <w:tcBorders>
              <w:left w:val="single" w:color="000000" w:sz="6" w:space="0"/>
              <w:right w:val="double" w:color="auto" w:sz="4" w:space="0"/>
            </w:tcBorders>
            <w:noWrap/>
            <w:vAlign w:val="center"/>
          </w:tcPr>
          <w:p>
            <w:pPr>
              <w:adjustRightInd w:val="0"/>
              <w:snapToGrid w:val="0"/>
              <w:spacing w:line="400" w:lineRule="exact"/>
              <w:ind w:left="907" w:hanging="907"/>
              <w:textAlignment w:val="center"/>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690" w:type="dxa"/>
            <w:tcBorders>
              <w:top w:val="single" w:color="000000" w:sz="6" w:space="0"/>
              <w:left w:val="double" w:color="auto" w:sz="4" w:space="0"/>
              <w:bottom w:val="single" w:color="000000" w:sz="6" w:space="0"/>
              <w:right w:val="single" w:color="auto" w:sz="4" w:space="0"/>
            </w:tcBorders>
            <w:noWrap/>
            <w:vAlign w:val="center"/>
          </w:tcPr>
          <w:p>
            <w:pPr>
              <w:spacing w:line="400" w:lineRule="exact"/>
              <w:rPr>
                <w:rFonts w:hint="eastAsia" w:ascii="宋体" w:hAnsi="宋体" w:eastAsia="宋体" w:cs="宋体"/>
                <w:szCs w:val="21"/>
              </w:rPr>
            </w:pPr>
          </w:p>
        </w:tc>
        <w:tc>
          <w:tcPr>
            <w:tcW w:w="1020" w:type="dxa"/>
            <w:tcBorders>
              <w:top w:val="single" w:color="000000" w:sz="6" w:space="0"/>
              <w:left w:val="sing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p>
        </w:tc>
        <w:tc>
          <w:tcPr>
            <w:tcW w:w="1110" w:type="dxa"/>
            <w:tcBorders>
              <w:top w:val="single" w:color="000000" w:sz="6" w:space="0"/>
              <w:left w:val="single" w:color="auto" w:sz="4" w:space="0"/>
              <w:bottom w:val="single" w:color="000000" w:sz="6" w:space="0"/>
              <w:right w:val="single" w:color="auto" w:sz="4" w:space="0"/>
            </w:tcBorders>
            <w:noWrap/>
          </w:tcPr>
          <w:p>
            <w:pPr>
              <w:adjustRightInd w:val="0"/>
              <w:snapToGrid w:val="0"/>
              <w:spacing w:line="400" w:lineRule="exact"/>
              <w:textAlignment w:val="center"/>
              <w:rPr>
                <w:rFonts w:hint="eastAsia" w:ascii="宋体" w:hAnsi="宋体" w:eastAsia="宋体" w:cs="宋体"/>
                <w:bCs/>
                <w:szCs w:val="21"/>
              </w:rPr>
            </w:pPr>
          </w:p>
        </w:tc>
        <w:tc>
          <w:tcPr>
            <w:tcW w:w="1140" w:type="dxa"/>
            <w:tcBorders>
              <w:top w:val="single" w:color="000000" w:sz="6" w:space="0"/>
              <w:left w:val="single" w:color="auto" w:sz="4" w:space="0"/>
              <w:bottom w:val="single" w:color="000000" w:sz="6" w:space="0"/>
              <w:right w:val="single" w:color="000000" w:sz="6" w:space="0"/>
            </w:tcBorders>
            <w:noWrap/>
          </w:tcPr>
          <w:p>
            <w:pPr>
              <w:adjustRightInd w:val="0"/>
              <w:snapToGrid w:val="0"/>
              <w:spacing w:line="400" w:lineRule="exact"/>
              <w:textAlignment w:val="center"/>
              <w:rPr>
                <w:rFonts w:hint="eastAsia" w:ascii="宋体" w:hAnsi="宋体" w:eastAsia="宋体" w:cs="宋体"/>
                <w:bCs/>
                <w:szCs w:val="21"/>
              </w:rPr>
            </w:pPr>
          </w:p>
        </w:tc>
        <w:tc>
          <w:tcPr>
            <w:tcW w:w="825" w:type="dxa"/>
            <w:tcBorders>
              <w:top w:val="single" w:color="auto" w:sz="4" w:space="0"/>
              <w:left w:val="single" w:color="000000" w:sz="6" w:space="0"/>
              <w:bottom w:val="single" w:color="auto" w:sz="4" w:space="0"/>
              <w:right w:val="single" w:color="auto" w:sz="4" w:space="0"/>
            </w:tcBorders>
            <w:noWrap/>
            <w:vAlign w:val="center"/>
          </w:tcPr>
          <w:p>
            <w:pPr>
              <w:spacing w:line="400" w:lineRule="exact"/>
              <w:rPr>
                <w:rFonts w:hint="eastAsia" w:ascii="宋体" w:hAnsi="宋体" w:eastAsia="宋体" w:cs="宋体"/>
                <w:szCs w:val="21"/>
              </w:rPr>
            </w:pPr>
          </w:p>
        </w:tc>
        <w:tc>
          <w:tcPr>
            <w:tcW w:w="705" w:type="dxa"/>
            <w:vMerge w:val="continue"/>
            <w:tcBorders>
              <w:left w:val="single" w:color="auto" w:sz="4" w:space="0"/>
              <w:right w:val="double" w:color="auto" w:sz="4" w:space="0"/>
            </w:tcBorders>
            <w:noWrap/>
            <w:vAlign w:val="center"/>
          </w:tcPr>
          <w:p>
            <w:pPr>
              <w:spacing w:line="400" w:lineRule="exact"/>
              <w:rPr>
                <w:rFonts w:hint="eastAsia" w:ascii="宋体" w:hAnsi="宋体" w:eastAsia="宋体" w:cs="宋体"/>
                <w:szCs w:val="21"/>
              </w:rPr>
            </w:pPr>
          </w:p>
        </w:tc>
        <w:tc>
          <w:tcPr>
            <w:tcW w:w="1215" w:type="dxa"/>
            <w:vMerge w:val="continue"/>
            <w:tcBorders>
              <w:left w:val="single" w:color="000000" w:sz="6" w:space="0"/>
              <w:right w:val="double" w:color="auto" w:sz="4" w:space="0"/>
            </w:tcBorders>
            <w:noWrap/>
            <w:vAlign w:val="center"/>
          </w:tcPr>
          <w:p>
            <w:pPr>
              <w:spacing w:line="400" w:lineRule="exact"/>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1710" w:type="dxa"/>
            <w:gridSpan w:val="2"/>
            <w:tcBorders>
              <w:top w:val="single" w:color="000000" w:sz="6" w:space="0"/>
              <w:left w:val="double" w:color="auto" w:sz="4" w:space="0"/>
              <w:bottom w:val="single" w:color="000000" w:sz="6" w:space="0"/>
              <w:right w:val="single" w:color="000000" w:sz="6" w:space="0"/>
            </w:tcBorders>
            <w:noWrap/>
            <w:vAlign w:val="center"/>
          </w:tcPr>
          <w:p>
            <w:pPr>
              <w:spacing w:line="400" w:lineRule="exact"/>
              <w:rPr>
                <w:rFonts w:hint="default" w:ascii="宋体" w:hAnsi="宋体" w:eastAsia="宋体" w:cs="宋体"/>
                <w:szCs w:val="21"/>
                <w:lang w:val="en-US" w:eastAsia="zh-CN"/>
              </w:rPr>
            </w:pPr>
            <w:r>
              <w:rPr>
                <w:rFonts w:hint="eastAsia" w:ascii="宋体" w:hAnsi="宋体" w:eastAsia="宋体" w:cs="宋体"/>
                <w:szCs w:val="21"/>
                <w:lang w:val="en-US" w:eastAsia="zh-CN"/>
              </w:rPr>
              <w:t>投标总价（小写）：</w:t>
            </w:r>
          </w:p>
        </w:tc>
        <w:tc>
          <w:tcPr>
            <w:tcW w:w="4995" w:type="dxa"/>
            <w:gridSpan w:val="5"/>
            <w:tcBorders>
              <w:top w:val="single" w:color="000000" w:sz="6" w:space="0"/>
              <w:left w:val="single" w:color="auto" w:sz="4" w:space="0"/>
              <w:bottom w:val="single" w:color="000000" w:sz="6" w:space="0"/>
              <w:right w:val="double" w:color="auto" w:sz="4" w:space="0"/>
            </w:tcBorders>
            <w:noWrap/>
          </w:tcPr>
          <w:p>
            <w:pPr>
              <w:spacing w:line="400" w:lineRule="exact"/>
              <w:rPr>
                <w:rFonts w:hint="eastAsia" w:ascii="宋体" w:hAnsi="宋体" w:eastAsia="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5" w:hRule="atLeast"/>
          <w:jc w:val="center"/>
        </w:trPr>
        <w:tc>
          <w:tcPr>
            <w:tcW w:w="1710" w:type="dxa"/>
            <w:gridSpan w:val="2"/>
            <w:tcBorders>
              <w:top w:val="single" w:color="000000" w:sz="6" w:space="0"/>
              <w:left w:val="double" w:color="auto" w:sz="4" w:space="0"/>
              <w:bottom w:val="single" w:color="000000" w:sz="6" w:space="0"/>
              <w:right w:val="single" w:color="000000" w:sz="6" w:space="0"/>
            </w:tcBorders>
            <w:noWrap/>
            <w:vAlign w:val="center"/>
          </w:tcPr>
          <w:p>
            <w:pPr>
              <w:spacing w:line="400" w:lineRule="exact"/>
              <w:rPr>
                <w:rFonts w:hint="eastAsia" w:ascii="宋体" w:hAnsi="宋体" w:eastAsia="宋体" w:cs="宋体"/>
                <w:szCs w:val="21"/>
              </w:rPr>
            </w:pPr>
            <w:r>
              <w:rPr>
                <w:rFonts w:hint="eastAsia" w:ascii="宋体" w:hAnsi="宋体" w:eastAsia="宋体" w:cs="宋体"/>
                <w:szCs w:val="21"/>
                <w:lang w:val="en-US" w:eastAsia="zh-CN"/>
              </w:rPr>
              <w:t>投标总价（大写）：</w:t>
            </w:r>
          </w:p>
        </w:tc>
        <w:tc>
          <w:tcPr>
            <w:tcW w:w="4995" w:type="dxa"/>
            <w:gridSpan w:val="5"/>
            <w:tcBorders>
              <w:top w:val="single" w:color="000000" w:sz="6" w:space="0"/>
              <w:left w:val="single" w:color="auto" w:sz="4" w:space="0"/>
              <w:bottom w:val="single" w:color="000000" w:sz="6" w:space="0"/>
              <w:right w:val="double" w:color="auto" w:sz="4" w:space="0"/>
            </w:tcBorders>
            <w:noWrap/>
          </w:tcPr>
          <w:p>
            <w:pPr>
              <w:spacing w:line="400" w:lineRule="exact"/>
              <w:rPr>
                <w:rFonts w:hint="eastAsia" w:ascii="宋体" w:hAnsi="宋体" w:eastAsia="宋体" w:cs="宋体"/>
                <w:szCs w:val="21"/>
              </w:rPr>
            </w:pPr>
          </w:p>
        </w:tc>
      </w:tr>
    </w:tbl>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p>
    <w:p>
      <w:pPr>
        <w:adjustRightInd w:val="0"/>
        <w:snapToGrid w:val="0"/>
        <w:spacing w:before="50" w:line="400" w:lineRule="exact"/>
        <w:rPr>
          <w:rFonts w:hint="eastAsia" w:ascii="宋体" w:hAnsi="宋体" w:eastAsia="宋体" w:cs="宋体"/>
          <w:szCs w:val="21"/>
        </w:rPr>
      </w:pPr>
      <w:r>
        <w:rPr>
          <w:rFonts w:hint="eastAsia" w:ascii="宋体" w:hAnsi="宋体" w:eastAsia="宋体" w:cs="宋体"/>
          <w:szCs w:val="21"/>
        </w:rPr>
        <w:t>供应商名称（单位章）：</w:t>
      </w:r>
    </w:p>
    <w:p>
      <w:pPr>
        <w:adjustRightInd w:val="0"/>
        <w:snapToGrid w:val="0"/>
        <w:spacing w:before="50" w:line="400" w:lineRule="exact"/>
        <w:rPr>
          <w:rFonts w:hint="eastAsia" w:ascii="宋体" w:hAnsi="宋体" w:eastAsia="宋体" w:cs="宋体"/>
          <w:szCs w:val="21"/>
        </w:rPr>
      </w:pPr>
      <w:r>
        <w:rPr>
          <w:rFonts w:hint="eastAsia" w:ascii="宋体" w:hAnsi="宋体" w:eastAsia="宋体" w:cs="宋体"/>
          <w:szCs w:val="21"/>
        </w:rPr>
        <w:t>法定代表人或其授权的代理人(签字)：</w:t>
      </w:r>
    </w:p>
    <w:p>
      <w:pPr>
        <w:spacing w:line="400" w:lineRule="exact"/>
        <w:rPr>
          <w:rFonts w:hint="eastAsia" w:ascii="宋体" w:hAnsi="宋体" w:eastAsia="宋体" w:cs="宋体"/>
        </w:rPr>
      </w:pPr>
      <w:r>
        <w:rPr>
          <w:rFonts w:hint="eastAsia" w:ascii="宋体" w:hAnsi="宋体" w:eastAsia="宋体" w:cs="宋体"/>
          <w:szCs w:val="21"/>
        </w:rPr>
        <w:t>日期：   年   月   日</w:t>
      </w:r>
    </w:p>
    <w:p>
      <w:pPr>
        <w:adjustRightInd w:val="0"/>
        <w:snapToGrid w:val="0"/>
        <w:spacing w:line="400" w:lineRule="exact"/>
        <w:ind w:left="-88" w:leftChars="-42"/>
        <w:rPr>
          <w:rFonts w:hint="eastAsia" w:ascii="宋体" w:hAnsi="宋体" w:eastAsia="宋体" w:cs="宋体"/>
          <w:szCs w:val="21"/>
        </w:rPr>
      </w:pPr>
      <w:r>
        <w:rPr>
          <w:rFonts w:hint="eastAsia" w:ascii="宋体" w:hAnsi="宋体" w:eastAsia="宋体" w:cs="宋体"/>
          <w:b/>
          <w:szCs w:val="21"/>
        </w:rPr>
        <w:t>备注：</w:t>
      </w:r>
      <w:r>
        <w:rPr>
          <w:rFonts w:hint="eastAsia" w:ascii="宋体" w:hAnsi="宋体" w:eastAsia="宋体" w:cs="宋体"/>
          <w:szCs w:val="21"/>
        </w:rPr>
        <w:t>（1）报价指完成供货、验收合格所需的各种费用及必要的保险费用和各项税金等所有费用的总和。包括但不限于：安装、随机零配件、标配工具、运输保险、质保期服务、各项税费等需要的一切费用及合同实施过程中不可预见费用。</w:t>
      </w:r>
    </w:p>
    <w:p>
      <w:pPr>
        <w:adjustRightInd w:val="0"/>
        <w:snapToGrid w:val="0"/>
        <w:spacing w:line="400" w:lineRule="exact"/>
        <w:ind w:left="-88" w:leftChars="-42"/>
        <w:rPr>
          <w:rFonts w:hint="eastAsia" w:ascii="宋体" w:hAnsi="宋体" w:eastAsia="宋体" w:cs="宋体"/>
          <w:szCs w:val="21"/>
        </w:rPr>
      </w:pPr>
      <w:r>
        <w:rPr>
          <w:rFonts w:hint="eastAsia" w:ascii="宋体" w:hAnsi="宋体" w:eastAsia="宋体" w:cs="宋体"/>
          <w:szCs w:val="21"/>
        </w:rPr>
        <w:t>（2）单价应包括必不可少的部件、标准备件等费用。</w:t>
      </w:r>
    </w:p>
    <w:p>
      <w:pPr>
        <w:adjustRightInd w:val="0"/>
        <w:snapToGrid w:val="0"/>
        <w:spacing w:line="400" w:lineRule="exact"/>
        <w:ind w:left="-88" w:leftChars="-42"/>
        <w:rPr>
          <w:rFonts w:hint="eastAsia" w:ascii="宋体" w:hAnsi="宋体" w:eastAsia="宋体" w:cs="宋体"/>
          <w:szCs w:val="21"/>
        </w:rPr>
      </w:pPr>
      <w:r>
        <w:rPr>
          <w:rFonts w:hint="eastAsia" w:ascii="宋体" w:hAnsi="宋体" w:eastAsia="宋体" w:cs="宋体"/>
          <w:szCs w:val="21"/>
        </w:rPr>
        <w:t>（3）如果单价与总价不符时，以单价为准，并修正总价。</w:t>
      </w:r>
    </w:p>
    <w:p>
      <w:pPr>
        <w:adjustRightInd w:val="0"/>
        <w:snapToGrid w:val="0"/>
        <w:spacing w:line="400" w:lineRule="exact"/>
        <w:ind w:left="-88" w:leftChars="-42"/>
        <w:rPr>
          <w:rFonts w:hint="eastAsia" w:ascii="宋体" w:hAnsi="宋体" w:eastAsia="宋体" w:cs="宋体"/>
          <w:szCs w:val="21"/>
        </w:rPr>
      </w:pPr>
      <w:r>
        <w:rPr>
          <w:rFonts w:hint="eastAsia" w:ascii="宋体" w:hAnsi="宋体" w:eastAsia="宋体" w:cs="宋体"/>
          <w:szCs w:val="21"/>
        </w:rPr>
        <w:t>（4） 表格长度可根据需要自行调整，表中所列内容为必须填写项目，供应商可根据自身情况增加内容。</w:t>
      </w:r>
    </w:p>
    <w:p>
      <w:pPr>
        <w:adjustRightInd w:val="0"/>
        <w:snapToGrid w:val="0"/>
        <w:spacing w:line="400" w:lineRule="exact"/>
        <w:ind w:left="-88" w:leftChars="-42"/>
        <w:rPr>
          <w:rFonts w:hint="eastAsia" w:ascii="宋体" w:hAnsi="宋体" w:eastAsia="宋体" w:cs="宋体"/>
        </w:rPr>
      </w:pPr>
      <w:r>
        <w:rPr>
          <w:rFonts w:hint="eastAsia" w:ascii="宋体" w:hAnsi="宋体" w:eastAsia="宋体" w:cs="宋体"/>
          <w:szCs w:val="21"/>
        </w:rPr>
        <w:t>（5）本表可用附表形式把需求一览表中所有产品生产厂商、规格型号、单价等内容进行详细说明。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2</w:t>
                          </w:r>
                          <w:r>
                            <w:rPr>
                              <w:rFonts w:ascii="Times New Roman" w:hAnsi="Times New Roman" w:eastAsia="宋体" w:cs="Times New Roman"/>
                              <w:kern w:val="2"/>
                              <w:sz w:val="18"/>
                              <w:szCs w:val="18"/>
                              <w:lang w:val="zh-CN" w:eastAsia="zh-CN" w:bidi="ar-SA"/>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2Xt0c0BAACn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ijMnLD345fu3y49fl59f2Zsk&#10;Tx+woqqHQHVxuPMDLc0cRwom1kMLNn2JD6M8iXu+iquGyGS6tF6t1yWlJOVmh/CLx+sBML5V3rJk&#10;1Bzo9bKo4vQe41g6l6Ruzt9rY/ILGvdXgDDHiMorMN1OTMaJkxWH/TDR2/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2Xt0c0BAACnAwAADgAAAAAAAAABACAAAAAeAQAAZHJzL2Uy&#10;b0RvYy54bWxQSwUGAAAAAAYABgBZAQAAXQUAAAAA&#10;">
              <v:fill on="f" focussize="0,0"/>
              <v:stroke on="f"/>
              <v:imagedata o:title=""/>
              <o:lock v:ext="edit" aspectratio="f"/>
              <v:textbox inset="0mm,0mm,0mm,0mm" style="mso-fit-shape-to-text:t;">
                <w:txbxContent>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2</w:t>
                    </w:r>
                    <w:r>
                      <w:rPr>
                        <w:rFonts w:ascii="Times New Roman" w:hAnsi="Times New Roman" w:eastAsia="宋体" w:cs="Times New Roman"/>
                        <w:kern w:val="2"/>
                        <w:sz w:val="18"/>
                        <w:szCs w:val="18"/>
                        <w:lang w:val="zh-CN" w:eastAsia="zh-CN" w:bidi="ar-SA"/>
                      </w:rPr>
                      <w:fldChar w:fldCharType="end"/>
                    </w:r>
                  </w:p>
                </w:txbxContent>
              </v:textbox>
            </v:shape>
          </w:pict>
        </mc:Fallback>
      </mc:AlternateContent>
    </w:r>
  </w:p>
  <w:p>
    <w:pPr>
      <w:widowControl w:val="0"/>
      <w:tabs>
        <w:tab w:val="center" w:pos="4497"/>
      </w:tabs>
      <w:snapToGrid w:val="0"/>
      <w:ind w:right="360"/>
      <w:jc w:val="both"/>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仿宋_GB2312" w:hAnsi="Times New Roman" w:eastAsia="仿宋_GB2312" w:cs="仿宋_GB2312"/>
        <w:b/>
        <w:kern w:val="2"/>
        <w:sz w:val="32"/>
        <w:szCs w:val="32"/>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separate"/>
    </w:r>
    <w:r>
      <w:rPr>
        <w:rFonts w:ascii="仿宋_GB2312" w:hAnsi="Times New Roman" w:eastAsia="仿宋_GB2312" w:cs="仿宋_GB2312"/>
        <w:b/>
        <w:kern w:val="2"/>
        <w:sz w:val="32"/>
        <w:szCs w:val="32"/>
        <w:lang w:val="en-US" w:eastAsia="zh-CN" w:bidi="ar-SA"/>
      </w:rPr>
      <w:t>3</w:t>
    </w:r>
    <w:r>
      <w:rPr>
        <w:rFonts w:ascii="Times New Roman" w:hAnsi="Times New Roman" w:eastAsia="宋体" w:cs="Times New Roman"/>
        <w:kern w:val="2"/>
        <w:sz w:val="18"/>
        <w:szCs w:val="18"/>
        <w:lang w:val="en-US" w:eastAsia="zh-CN" w:bidi="ar-SA"/>
      </w:rPr>
      <w:fldChar w:fldCharType="end"/>
    </w:r>
  </w:p>
  <w:p>
    <w:pPr>
      <w:widowControl w:val="0"/>
      <w:tabs>
        <w:tab w:val="center" w:pos="4153"/>
        <w:tab w:val="right" w:pos="8306"/>
      </w:tabs>
      <w:snapToGrid w:val="0"/>
      <w:ind w:right="360"/>
      <w:jc w:val="left"/>
      <w:rPr>
        <w:rFonts w:ascii="Times New Roman" w:hAnsi="Times New Roman" w:eastAsia="宋体" w:cs="Times New Roman"/>
        <w:kern w:val="2"/>
        <w:sz w:val="21"/>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57150" cy="147955"/>
              <wp:effectExtent l="0" t="0" r="0" b="0"/>
              <wp:wrapSquare wrapText="bothSides"/>
              <wp:docPr id="3" name="文本框 1026"/>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仿宋_GB2312" w:hAnsi="Times New Roman" w:eastAsia="仿宋_GB2312" w:cs="仿宋_GB2312"/>
                              <w:b/>
                              <w:kern w:val="2"/>
                              <w:sz w:val="32"/>
                              <w:szCs w:val="32"/>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separate"/>
                          </w:r>
                          <w:r>
                            <w:rPr>
                              <w:rFonts w:ascii="仿宋_GB2312" w:hAnsi="Times New Roman" w:eastAsia="仿宋_GB2312" w:cs="仿宋_GB2312"/>
                              <w:b/>
                              <w:kern w:val="2"/>
                              <w:sz w:val="32"/>
                              <w:szCs w:val="32"/>
                              <w:lang w:val="en-US" w:eastAsia="zh-CN" w:bidi="ar-SA"/>
                            </w:rPr>
                            <w:t>3</w:t>
                          </w:r>
                          <w:r>
                            <w:rPr>
                              <w:rFonts w:ascii="Times New Roman" w:hAnsi="Times New Roman" w:eastAsia="宋体" w:cs="Times New Roman"/>
                              <w:kern w:val="2"/>
                              <w:sz w:val="18"/>
                              <w:szCs w:val="18"/>
                              <w:lang w:val="en-US" w:eastAsia="zh-CN" w:bidi="ar-SA"/>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1.65pt;width:4.5pt;mso-position-horizontal:center;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D0gJWDUAQAApwMAAA4AAABkcnMvZTJvRG9jLnhtbK1TzY7TMBC+I/EO&#10;lu80SaG7EDVdgapFSAiQFh7AdezGkv/kcZv0BeANOHHhznP1ORg7SReWyx64OOOZ8TfzfTNZ3wxG&#10;k6MIoJxtaLUoKRGWu1bZfUO/fL599pISiMy2TDsrGnoSQG82T5+se1+LpeucbkUgCGKh7n1Duxh9&#10;XRTAO2EYLJwXFoPSBcMiXsO+aAPrEd3oYlmWV0XvQuuD4wIAvdsxSCfE8BhAJ6XiYuv4wQgbR9Qg&#10;NItICTrlgW5yt1IKHj9KCSIS3VBkGvOJRdDepbPYrFm9D8x3ik8tsMe08ICTYcpi0QvUlkVGDkH9&#10;A2UUDw6cjAvuTDESyYogi6p8oM1dx7zIXFBq8BfR4f/B8g/HT4GotqHPKbHM4MDP37+df/w6//xK&#10;qnJ5lRTqPdSYeOcxNQ5v3IB7M/sBnYn4IINJX6REMI76ni76iiESjs7VdbXCAMdI9eL61WqVQIr7&#10;tz5AfCucIcloaMDpZVHZ8T3EMXVOSaWsu1Va5wlq+5cDMUePyCswvU40xnaTFYfdMHHbufaE1Hpc&#10;g4Za3HpK9DuLKqeNmY0wG7vZOPig9h02WuUuwb8+RGwpd5oqjLDIMF1wfpnrtGtpQf6856z7/2v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bQkGzQAAAAAgEAAA8AAAAAAAAAAQAgAAAAIgAAAGRy&#10;cy9kb3ducmV2LnhtbFBLAQIUABQAAAAIAIdO4kA9ICVg1AEAAKcDAAAOAAAAAAAAAAEAIAAAAB8B&#10;AABkcnMvZTJvRG9jLnhtbFBLBQYAAAAABgAGAFkBAABl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仿宋_GB2312" w:hAnsi="Times New Roman" w:eastAsia="仿宋_GB2312" w:cs="仿宋_GB2312"/>
                        <w:b/>
                        <w:kern w:val="2"/>
                        <w:sz w:val="32"/>
                        <w:szCs w:val="32"/>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separate"/>
                    </w:r>
                    <w:r>
                      <w:rPr>
                        <w:rFonts w:ascii="仿宋_GB2312" w:hAnsi="Times New Roman" w:eastAsia="仿宋_GB2312" w:cs="仿宋_GB2312"/>
                        <w:b/>
                        <w:kern w:val="2"/>
                        <w:sz w:val="32"/>
                        <w:szCs w:val="32"/>
                        <w:lang w:val="en-US" w:eastAsia="zh-CN" w:bidi="ar-SA"/>
                      </w:rPr>
                      <w:t>3</w:t>
                    </w:r>
                    <w:r>
                      <w:rPr>
                        <w:rFonts w:ascii="Times New Roman" w:hAnsi="Times New Roman" w:eastAsia="宋体" w:cs="Times New Roman"/>
                        <w:kern w:val="2"/>
                        <w:sz w:val="18"/>
                        <w:szCs w:val="18"/>
                        <w:lang w:val="en-US" w:eastAsia="zh-CN" w:bidi="ar-SA"/>
                      </w:rPr>
                      <w:fldChar w:fldCharType="end"/>
                    </w:r>
                  </w:p>
                </w:txbxContent>
              </v:textbox>
              <w10:wrap type="square"/>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33350" cy="172720"/>
              <wp:effectExtent l="0" t="0" r="0" b="0"/>
              <wp:wrapSquare wrapText="bothSides"/>
              <wp:docPr id="5" name="文本框 1027"/>
              <wp:cNvGraphicFramePr/>
              <a:graphic xmlns:a="http://schemas.openxmlformats.org/drawingml/2006/main">
                <a:graphicData uri="http://schemas.microsoft.com/office/word/2010/wordprocessingShape">
                  <wps:wsp>
                    <wps:cNvSpPr txBox="1"/>
                    <wps:spPr>
                      <a:xfrm>
                        <a:off x="0" y="0"/>
                        <a:ext cx="133350" cy="172720"/>
                      </a:xfrm>
                      <a:prstGeom prst="rect">
                        <a:avLst/>
                      </a:prstGeom>
                      <a:noFill/>
                      <a:ln>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21"/>
                              <w:szCs w:val="18"/>
                              <w:lang w:val="en-US" w:eastAsia="zh-CN" w:bidi="ar-SA"/>
                            </w:rPr>
                          </w:pPr>
                          <w:r>
                            <w:rPr>
                              <w:rFonts w:ascii="Times New Roman" w:hAnsi="Times New Roman" w:eastAsia="宋体" w:cs="Times New Roman"/>
                              <w:kern w:val="2"/>
                              <w:sz w:val="21"/>
                              <w:szCs w:val="18"/>
                              <w:lang w:val="en-US" w:eastAsia="zh-CN" w:bidi="ar-SA"/>
                            </w:rPr>
                            <w:fldChar w:fldCharType="begin"/>
                          </w:r>
                          <w:r>
                            <w:rPr>
                              <w:rFonts w:ascii="仿宋_GB2312" w:hAnsi="Times New Roman" w:eastAsia="仿宋_GB2312" w:cs="仿宋_GB2312"/>
                              <w:b/>
                              <w:kern w:val="2"/>
                              <w:sz w:val="21"/>
                              <w:szCs w:val="32"/>
                              <w:lang w:val="en-US" w:eastAsia="zh-CN" w:bidi="ar-SA"/>
                            </w:rPr>
                            <w:instrText xml:space="preserve">PAGE  </w:instrText>
                          </w:r>
                          <w:r>
                            <w:rPr>
                              <w:rFonts w:ascii="Times New Roman" w:hAnsi="Times New Roman" w:eastAsia="宋体" w:cs="Times New Roman"/>
                              <w:kern w:val="2"/>
                              <w:sz w:val="21"/>
                              <w:szCs w:val="18"/>
                              <w:lang w:val="en-US" w:eastAsia="zh-CN" w:bidi="ar-SA"/>
                            </w:rPr>
                            <w:fldChar w:fldCharType="separate"/>
                          </w:r>
                          <w:r>
                            <w:rPr>
                              <w:rFonts w:ascii="仿宋_GB2312" w:hAnsi="Times New Roman" w:eastAsia="仿宋_GB2312" w:cs="仿宋_GB2312"/>
                              <w:b/>
                              <w:kern w:val="2"/>
                              <w:sz w:val="21"/>
                              <w:szCs w:val="32"/>
                              <w:lang w:val="en-US" w:eastAsia="zh-CN" w:bidi="ar-SA"/>
                            </w:rPr>
                            <w:t>3</w:t>
                          </w:r>
                          <w:r>
                            <w:rPr>
                              <w:rFonts w:ascii="Times New Roman" w:hAnsi="Times New Roman" w:eastAsia="宋体" w:cs="Times New Roman"/>
                              <w:kern w:val="2"/>
                              <w:sz w:val="21"/>
                              <w:szCs w:val="18"/>
                              <w:lang w:val="en-US" w:eastAsia="zh-CN" w:bidi="ar-SA"/>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3.6pt;width:10.5pt;mso-position-horizontal:center;mso-position-horizontal-relative:margin;mso-wrap-distance-bottom:0pt;mso-wrap-distance-left:0pt;mso-wrap-distance-right:0pt;mso-wrap-distance-top:0pt;mso-wrap-style:none;z-index:251661312;mso-width-relative:page;mso-height-relative:page;" filled="f" stroked="f" coordsize="21600,21600" o:gfxdata="UEsDBAoAAAAAAIdO4kAAAAAAAAAAAAAAAAAEAAAAZHJzL1BLAwQUAAAACACHTuJAsqsuUc8AAAAD&#10;AQAADwAAAGRycy9kb3ducmV2LnhtbE2PMU/DMBCFdyT+g3VI3aiTDG0V4nSoxMJGi5DY3PgaR9jn&#10;yHbT5N9zZYHlTk/v9O57zX72TkwY0xBIQbkuQCB1wQzUK/g4vT7vQKSsyWgXCBUsmGDfPj40ujbh&#10;Ru84HXMvOIRSrRXYnMdaytRZ9Dqtw4jE3iVErzPL2EsT9Y3DvZNVUWyk1wPxB6tHPFjsvo9Xr2A7&#10;fwYcEx7w6zJ10Q7Lzr0tSq2eyuIFRMY5/x3DHZ/RoWWmc7iSScIp4CL5d7JXlazOvLcVyLaR/9nb&#10;H1BLAwQUAAAACACHTuJA6f82DNUBAACoAwAADgAAAGRycy9lMm9Eb2MueG1srVNLjhMxEN0jzR0s&#10;7yf9iYagVjojUDQICQHSwAEctzttyT+5nHTnAnADVmzYc66cg7K7O/NhMws27nJV+fm95+r17aAV&#10;OQoP0pqaFoucEmG4baTZ1/Tb17vrN5RAYKZhyhpR05MAeru5erXuXSVK21nVCE8QxEDVu5p2Ibgq&#10;y4B3QjNYWCcMFlvrNQu49fus8axHdK2yMs9fZ731jfOWCwDMbscinRD9SwBt20outpYftDBhRPVC&#10;sYCSoJMO6CaxbVvBw+e2BRGIqikqDWnFSzDexTXbrFm198x1kk8U2EsoPNOkmTR46QVqywIjBy//&#10;gdKSewu2DQtudTYKSY6giiJ/5s19x5xIWtBqcBfT4f/B8k/HL57IpqY3lBim8cHPP3+cf/05//5O&#10;irxcRYd6BxU23jtsDcM7O+DczHnAZBQ+tF7HL0oiWEd/Txd/xRAIj4eWy+UNVjiWilW5KpP/2cNh&#10;5yG8F1aTGNTU4/MlV9nxIwQkgq1zS7zL2DupVHpCZZ4ksHHMiDQD0+moY+QbozDshknczjYn1Nbj&#10;HNTU4NhToj4YtDmOzBz4OdjNwcF5ue+QaJFYgnt7CEgpMY03jLBIO27wAZOAadjihDzep66HH2z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KrLlHPAAAAAwEAAA8AAAAAAAAAAQAgAAAAIgAAAGRy&#10;cy9kb3ducmV2LnhtbFBLAQIUABQAAAAIAIdO4kDp/zYM1QEAAKgDAAAOAAAAAAAAAAEAIAAAAB4B&#10;AABkcnMvZTJvRG9jLnhtbFBLBQYAAAAABgAGAFkBAABl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21"/>
                        <w:szCs w:val="18"/>
                        <w:lang w:val="en-US" w:eastAsia="zh-CN" w:bidi="ar-SA"/>
                      </w:rPr>
                    </w:pPr>
                    <w:r>
                      <w:rPr>
                        <w:rFonts w:ascii="Times New Roman" w:hAnsi="Times New Roman" w:eastAsia="宋体" w:cs="Times New Roman"/>
                        <w:kern w:val="2"/>
                        <w:sz w:val="21"/>
                        <w:szCs w:val="18"/>
                        <w:lang w:val="en-US" w:eastAsia="zh-CN" w:bidi="ar-SA"/>
                      </w:rPr>
                      <w:fldChar w:fldCharType="begin"/>
                    </w:r>
                    <w:r>
                      <w:rPr>
                        <w:rFonts w:ascii="仿宋_GB2312" w:hAnsi="Times New Roman" w:eastAsia="仿宋_GB2312" w:cs="仿宋_GB2312"/>
                        <w:b/>
                        <w:kern w:val="2"/>
                        <w:sz w:val="21"/>
                        <w:szCs w:val="32"/>
                        <w:lang w:val="en-US" w:eastAsia="zh-CN" w:bidi="ar-SA"/>
                      </w:rPr>
                      <w:instrText xml:space="preserve">PAGE  </w:instrText>
                    </w:r>
                    <w:r>
                      <w:rPr>
                        <w:rFonts w:ascii="Times New Roman" w:hAnsi="Times New Roman" w:eastAsia="宋体" w:cs="Times New Roman"/>
                        <w:kern w:val="2"/>
                        <w:sz w:val="21"/>
                        <w:szCs w:val="18"/>
                        <w:lang w:val="en-US" w:eastAsia="zh-CN" w:bidi="ar-SA"/>
                      </w:rPr>
                      <w:fldChar w:fldCharType="separate"/>
                    </w:r>
                    <w:r>
                      <w:rPr>
                        <w:rFonts w:ascii="仿宋_GB2312" w:hAnsi="Times New Roman" w:eastAsia="仿宋_GB2312" w:cs="仿宋_GB2312"/>
                        <w:b/>
                        <w:kern w:val="2"/>
                        <w:sz w:val="21"/>
                        <w:szCs w:val="32"/>
                        <w:lang w:val="en-US" w:eastAsia="zh-CN" w:bidi="ar-SA"/>
                      </w:rPr>
                      <w:t>3</w:t>
                    </w:r>
                    <w:r>
                      <w:rPr>
                        <w:rFonts w:ascii="Times New Roman" w:hAnsi="Times New Roman" w:eastAsia="宋体" w:cs="Times New Roman"/>
                        <w:kern w:val="2"/>
                        <w:sz w:val="21"/>
                        <w:szCs w:val="18"/>
                        <w:lang w:val="en-US" w:eastAsia="zh-CN" w:bidi="ar-SA"/>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ind w:right="36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b/>
                              <w:kern w:val="2"/>
                              <w:sz w:val="18"/>
                              <w:szCs w:val="18"/>
                              <w:lang w:val="en-US" w:eastAsia="zh-CN" w:bidi="ar-SA"/>
                            </w:rPr>
                            <w:instrText xml:space="preserve"> PAGE  \* Arabic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b/>
                              <w:kern w:val="2"/>
                              <w:sz w:val="18"/>
                              <w:szCs w:val="18"/>
                              <w:lang w:val="en-US" w:eastAsia="zh-CN" w:bidi="ar-SA"/>
                            </w:rPr>
                            <w:t>3</w:t>
                          </w:r>
                          <w:r>
                            <w:rPr>
                              <w:rFonts w:ascii="Times New Roman" w:hAnsi="Times New Roman" w:eastAsia="宋体" w:cs="Times New Roman"/>
                              <w:kern w:val="2"/>
                              <w:sz w:val="18"/>
                              <w:szCs w:val="18"/>
                              <w:lang w:val="en-US" w:eastAsia="zh-CN" w:bidi="ar-SA"/>
                            </w:rP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VGc0BAACnAwAADgAAAGRycy9lMm9Eb2MueG1srVNLbtswEN0XyB0I&#10;7mPJXgSCYDlIYKQoEKQF0h6ApkiLAH/g0JZ8gfYGXXXTfc/lc3RISU6bbrLohpof38x7HK1vB6PJ&#10;UQRQzjZ0uSgpEZa7Vtl9Q798friuKIHIbMu0s6KhJwH0dnP1bt37Wqxc53QrAkEQC3XvG9rF6Oui&#10;AN4Jw2DhvLCYlC4YFtEN+6INrEd0o4tVWd4UvQutD44LAIxuxySdEMNbAJ2Uiout4wcjbBxRg9As&#10;IiXolAe6ydNKKXj8KCWISHRDkWnMJzZBe5fOYrNm9T4w3yk+jcDeMsIrToYpi00vUFsWGTkE9Q+U&#10;UTw4cDIuuDPFSCQrgiyW5SttnjvmReaCUoO/iA7/D5Y/HT8FotqG3lBimcEHP3//dv7x6/zzK6mS&#10;PL2HGquePdbF4d4NuDRzHDCYWA8ymPRFPgTzKO7pIq4YIuHpUrWqqhJTHHOzg/jFy3UfIL4XzpBk&#10;NDTg62VR2fER4lg6l6Ru1j0orfMLavtXADHHiMgrMN1OTMaJkxWH3TDR27n2hOx6XIOGWtx6SvQH&#10;iyqnjZmNMBu72Tj4oPYdDrrMU4K/O0QcKU+aOoywyDA5+H6Z67RraUH+9HPVy/+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u/VVGc0BAACnAwAADgAAAAAAAAABACAAAAAeAQAAZHJzL2Uy&#10;b0RvYy54bWxQSwUGAAAAAAYABgBZAQAAXQUAAAAA&#10;">
              <v:fill on="f" focussize="0,0"/>
              <v:stroke on="f"/>
              <v:imagedata o:title=""/>
              <o:lock v:ext="edit" aspectratio="f"/>
              <v:textbox inset="0mm,0mm,0mm,0mm" style="mso-fit-shape-to-text:t;">
                <w:txbxContent>
                  <w:p>
                    <w:pPr>
                      <w:widowControl w:val="0"/>
                      <w:tabs>
                        <w:tab w:val="center" w:pos="4153"/>
                        <w:tab w:val="right" w:pos="8306"/>
                      </w:tabs>
                      <w:snapToGrid w:val="0"/>
                      <w:ind w:right="36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b/>
                        <w:kern w:val="2"/>
                        <w:sz w:val="18"/>
                        <w:szCs w:val="18"/>
                        <w:lang w:val="en-US" w:eastAsia="zh-CN" w:bidi="ar-SA"/>
                      </w:rPr>
                      <w:instrText xml:space="preserve"> PAGE  \* Arabic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b/>
                        <w:kern w:val="2"/>
                        <w:sz w:val="18"/>
                        <w:szCs w:val="18"/>
                        <w:lang w:val="en-US" w:eastAsia="zh-CN" w:bidi="ar-SA"/>
                      </w:rPr>
                      <w:t>3</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0" distR="0" simplePos="0" relativeHeight="251663360" behindDoc="0" locked="0" layoutInCell="1" allowOverlap="1">
              <wp:simplePos x="0" y="0"/>
              <wp:positionH relativeFrom="margin">
                <wp:posOffset>0</wp:posOffset>
              </wp:positionH>
              <wp:positionV relativeFrom="paragraph">
                <wp:posOffset>26035</wp:posOffset>
              </wp:positionV>
              <wp:extent cx="140970" cy="220980"/>
              <wp:effectExtent l="0" t="0" r="0" b="0"/>
              <wp:wrapSquare wrapText="bothSides"/>
              <wp:docPr id="8" name="文本框 1028"/>
              <wp:cNvGraphicFramePr/>
              <a:graphic xmlns:a="http://schemas.openxmlformats.org/drawingml/2006/main">
                <a:graphicData uri="http://schemas.microsoft.com/office/word/2010/wordprocessingShape">
                  <wps:wsp>
                    <wps:cNvSpPr txBox="1"/>
                    <wps:spPr>
                      <a:xfrm>
                        <a:off x="0" y="0"/>
                        <a:ext cx="140970" cy="220980"/>
                      </a:xfrm>
                      <a:prstGeom prst="rect">
                        <a:avLst/>
                      </a:prstGeom>
                      <a:noFill/>
                      <a:ln>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txbxContent>
                    </wps:txbx>
                    <wps:bodyPr lIns="0" tIns="0" rIns="0" bIns="0" upright="1"/>
                  </wps:wsp>
                </a:graphicData>
              </a:graphic>
            </wp:anchor>
          </w:drawing>
        </mc:Choice>
        <mc:Fallback>
          <w:pict>
            <v:shape id="文本框 1028" o:spid="_x0000_s1026" o:spt="202" type="#_x0000_t202" style="position:absolute;left:0pt;margin-left:0pt;margin-top:2.05pt;height:17.4pt;width:11.1pt;mso-position-horizontal-relative:margin;mso-wrap-distance-bottom:0pt;mso-wrap-distance-left:0pt;mso-wrap-distance-right:0pt;mso-wrap-distance-top:0pt;z-index:251663360;mso-width-relative:page;mso-height-relative:page;" filled="f" stroked="f" coordsize="21600,21600" o:gfxdata="UEsDBAoAAAAAAIdO4kAAAAAAAAAAAAAAAAAEAAAAZHJzL1BLAwQUAAAACACHTuJAPspODdQAAAAE&#10;AQAADwAAAGRycy9kb3ducmV2LnhtbE2PzU7DMBCE70i8g7VI3KidgKo2ZFMhBCckRBoOHJ14m1iN&#10;1yF2f3h7zIkeRzOa+abcnN0ojjQH6xkhWygQxJ03lnuEz+b1bgUiRM1Gj54J4YcCbKrrq1IXxp+4&#10;puM29iKVcCg0whDjVEgZuoGcDgs/ESdv52enY5JzL82sT6ncjTJXaimdtpwWBj3R80DdfntwCE9f&#10;XL/Y7/f2o97VtmnWit+We8Tbm0w9goh0jv9h+MNP6FAlptYf2AQxIqQjEeEhA5HMPM9BtAj3qzXI&#10;qpSX8NUvUEsDBBQAAAAIAIdO4kCUNtG6vwEAAIIDAAAOAAAAZHJzL2Uyb0RvYy54bWytU82O0zAQ&#10;viPtO1i+U6cRgm7UdCVU7QoJAdLCA7jOpLHkP9luk74AvAEnLtx5rj4HYycp+3PZAxdnPD+f5/tm&#10;sr4ZtCJH8EFaU9PloqAEjLCNNPuafvt6+3pFSYjcNFxZAzU9QaA3m6tX695VUNrOqgY8QRATqt7V&#10;tIvRVYwF0YHmYWEdGAy21mse8er3rPG8R3StWFkUb1lvfeO8FRACerdjkE6I/iWAtm2lgK0VBw0m&#10;jqgeFI9IKXTSBbrJ3bYtiPi5bQNEomqKTGM+8RG0d+lkmzWv9p67ToqpBf6SFp5w0lwafPQCteWR&#10;k4OXz6C0FN4G28aFsJqNRLIiyGJZPNHmvuMOMheUOriL6OH/wYpPxy+eyKamOHbDNQ78/PPH+def&#10;8+/vZFmUq6RQ70KFifcOU+Pw3g64N7M/oDMRH1qv0xcpEYyjvqeLvjBEIlLRm+L6HUYEhsqyuF5l&#10;/dm/YudDvAOrSTJq6nF8WVV+/BgiNoKpc0p6y9hbqVQeoTKPHJg4eiDvwFSdeIz9JisOu2Eit7PN&#10;CbmpDwalTWsyG342drNxcF7uO2wuK8ASEI4mtzatUZr9wzvaD3+d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k4N1AAAAAQBAAAPAAAAAAAAAAEAIAAAACIAAABkcnMvZG93bnJldi54bWxQSwEC&#10;FAAUAAAACACHTuJAlDbRur8BAACCAwAADgAAAAAAAAABACAAAAAjAQAAZHJzL2Uyb0RvYy54bWxQ&#10;SwUGAAAAAAYABgBZAQAAVAUAAAAA&#10;">
              <v:fill on="f" focussize="0,0"/>
              <v:stroke on="f"/>
              <v:imagedata o:title=""/>
              <o:lock v:ext="edit" aspectratio="f"/>
              <v:textbox inset="0mm,0mm,0mm,0mm">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jc w:val="center"/>
      <w:rPr>
        <w:rFonts w:ascii="Times New Roman" w:hAnsi="Times New Roman" w:eastAsia="宋体" w:cs="Times New Roman"/>
        <w:kern w:val="2"/>
        <w:sz w:val="18"/>
        <w:szCs w:val="20"/>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ZDNhZGNmNzQ5NGUzMjIyOGNlNGVhMTVkNTRlMWEifQ=="/>
  </w:docVars>
  <w:rsids>
    <w:rsidRoot w:val="338D3C09"/>
    <w:rsid w:val="00166AF2"/>
    <w:rsid w:val="00793E86"/>
    <w:rsid w:val="00873874"/>
    <w:rsid w:val="009D1717"/>
    <w:rsid w:val="00BE76D0"/>
    <w:rsid w:val="00E84814"/>
    <w:rsid w:val="011C3BD7"/>
    <w:rsid w:val="01423567"/>
    <w:rsid w:val="01483A56"/>
    <w:rsid w:val="01C52378"/>
    <w:rsid w:val="01C8641E"/>
    <w:rsid w:val="01E1703D"/>
    <w:rsid w:val="02050B98"/>
    <w:rsid w:val="02402B4B"/>
    <w:rsid w:val="024F3740"/>
    <w:rsid w:val="02763462"/>
    <w:rsid w:val="030F51E3"/>
    <w:rsid w:val="037339E3"/>
    <w:rsid w:val="03801059"/>
    <w:rsid w:val="03870314"/>
    <w:rsid w:val="039B3227"/>
    <w:rsid w:val="03A42144"/>
    <w:rsid w:val="03B34DE7"/>
    <w:rsid w:val="03BB2728"/>
    <w:rsid w:val="03FA35B4"/>
    <w:rsid w:val="04447FB3"/>
    <w:rsid w:val="04806B11"/>
    <w:rsid w:val="04F901D0"/>
    <w:rsid w:val="053325AF"/>
    <w:rsid w:val="05D215EF"/>
    <w:rsid w:val="063D09F4"/>
    <w:rsid w:val="06686B60"/>
    <w:rsid w:val="06992E56"/>
    <w:rsid w:val="06C65ADC"/>
    <w:rsid w:val="06CB49BC"/>
    <w:rsid w:val="070C28DE"/>
    <w:rsid w:val="07274F90"/>
    <w:rsid w:val="075E5243"/>
    <w:rsid w:val="07A974A6"/>
    <w:rsid w:val="07E35D35"/>
    <w:rsid w:val="08114679"/>
    <w:rsid w:val="0874698D"/>
    <w:rsid w:val="088035D5"/>
    <w:rsid w:val="08A41020"/>
    <w:rsid w:val="08B13240"/>
    <w:rsid w:val="08FD4BD5"/>
    <w:rsid w:val="0986143C"/>
    <w:rsid w:val="0A4D5BC5"/>
    <w:rsid w:val="0A831DC6"/>
    <w:rsid w:val="0AC934BA"/>
    <w:rsid w:val="0B12728F"/>
    <w:rsid w:val="0B356F2B"/>
    <w:rsid w:val="0B723800"/>
    <w:rsid w:val="0BC54969"/>
    <w:rsid w:val="0BCF6437"/>
    <w:rsid w:val="0C384FD9"/>
    <w:rsid w:val="0C667899"/>
    <w:rsid w:val="0C7A78E7"/>
    <w:rsid w:val="0D674D12"/>
    <w:rsid w:val="0D804923"/>
    <w:rsid w:val="0DB1641D"/>
    <w:rsid w:val="0E2F4817"/>
    <w:rsid w:val="0E7476E7"/>
    <w:rsid w:val="0EA245DA"/>
    <w:rsid w:val="0ED91C40"/>
    <w:rsid w:val="0EDC70EA"/>
    <w:rsid w:val="0EF00A37"/>
    <w:rsid w:val="0FA83AEC"/>
    <w:rsid w:val="103F0670"/>
    <w:rsid w:val="104F21BA"/>
    <w:rsid w:val="110C1E59"/>
    <w:rsid w:val="111555A1"/>
    <w:rsid w:val="11D8258C"/>
    <w:rsid w:val="1216271F"/>
    <w:rsid w:val="12442950"/>
    <w:rsid w:val="12502831"/>
    <w:rsid w:val="128C1DA1"/>
    <w:rsid w:val="12A908CC"/>
    <w:rsid w:val="13860295"/>
    <w:rsid w:val="139E2D5C"/>
    <w:rsid w:val="13C7475D"/>
    <w:rsid w:val="13CE5AEB"/>
    <w:rsid w:val="14096B23"/>
    <w:rsid w:val="14113BCA"/>
    <w:rsid w:val="14173BB3"/>
    <w:rsid w:val="15791D03"/>
    <w:rsid w:val="15957E82"/>
    <w:rsid w:val="15E90D3D"/>
    <w:rsid w:val="16657BE6"/>
    <w:rsid w:val="176B037C"/>
    <w:rsid w:val="177249E0"/>
    <w:rsid w:val="17B2060F"/>
    <w:rsid w:val="180715CC"/>
    <w:rsid w:val="18357EE7"/>
    <w:rsid w:val="188A0E12"/>
    <w:rsid w:val="193E0479"/>
    <w:rsid w:val="198772A8"/>
    <w:rsid w:val="1A2D6DFF"/>
    <w:rsid w:val="1A9165C6"/>
    <w:rsid w:val="1B6868C3"/>
    <w:rsid w:val="1B851185"/>
    <w:rsid w:val="1B94283F"/>
    <w:rsid w:val="1BF76B72"/>
    <w:rsid w:val="1C817C74"/>
    <w:rsid w:val="1CA4563B"/>
    <w:rsid w:val="1CD254B3"/>
    <w:rsid w:val="1E522E75"/>
    <w:rsid w:val="1F142FF4"/>
    <w:rsid w:val="1F830AA6"/>
    <w:rsid w:val="1FE10954"/>
    <w:rsid w:val="206C46C2"/>
    <w:rsid w:val="21091A1E"/>
    <w:rsid w:val="212D49A1"/>
    <w:rsid w:val="217F7F9E"/>
    <w:rsid w:val="21E14A75"/>
    <w:rsid w:val="22221C8A"/>
    <w:rsid w:val="222D7E81"/>
    <w:rsid w:val="224F429B"/>
    <w:rsid w:val="22C00CF5"/>
    <w:rsid w:val="235A6FC8"/>
    <w:rsid w:val="239D4B92"/>
    <w:rsid w:val="23E74188"/>
    <w:rsid w:val="23EE53EE"/>
    <w:rsid w:val="240572B4"/>
    <w:rsid w:val="24883A94"/>
    <w:rsid w:val="24EC4023"/>
    <w:rsid w:val="251C672A"/>
    <w:rsid w:val="252F7103"/>
    <w:rsid w:val="2564005E"/>
    <w:rsid w:val="25902155"/>
    <w:rsid w:val="25A1676E"/>
    <w:rsid w:val="25AE752B"/>
    <w:rsid w:val="25B85CB3"/>
    <w:rsid w:val="25BA5ED0"/>
    <w:rsid w:val="265746D0"/>
    <w:rsid w:val="26AE17E0"/>
    <w:rsid w:val="26E90950"/>
    <w:rsid w:val="2713495A"/>
    <w:rsid w:val="27462D81"/>
    <w:rsid w:val="27522F83"/>
    <w:rsid w:val="27825996"/>
    <w:rsid w:val="279E28E9"/>
    <w:rsid w:val="28013942"/>
    <w:rsid w:val="284A3A51"/>
    <w:rsid w:val="28706D19"/>
    <w:rsid w:val="28C66C71"/>
    <w:rsid w:val="28D42A55"/>
    <w:rsid w:val="295628A8"/>
    <w:rsid w:val="2A916654"/>
    <w:rsid w:val="2B146082"/>
    <w:rsid w:val="2BC374BB"/>
    <w:rsid w:val="2C844B41"/>
    <w:rsid w:val="2CEA7BE5"/>
    <w:rsid w:val="2CED7BB5"/>
    <w:rsid w:val="2D0D0FDB"/>
    <w:rsid w:val="2D0D23A6"/>
    <w:rsid w:val="2D444B6A"/>
    <w:rsid w:val="2D4E5DF8"/>
    <w:rsid w:val="2D5B3AF4"/>
    <w:rsid w:val="2D7519DF"/>
    <w:rsid w:val="2E442028"/>
    <w:rsid w:val="2E756E38"/>
    <w:rsid w:val="2E8B0630"/>
    <w:rsid w:val="2E9453EB"/>
    <w:rsid w:val="2EAD435F"/>
    <w:rsid w:val="2ED86C88"/>
    <w:rsid w:val="2F74390D"/>
    <w:rsid w:val="2F762E67"/>
    <w:rsid w:val="2FAE4D4A"/>
    <w:rsid w:val="2FF03BDF"/>
    <w:rsid w:val="30262DA9"/>
    <w:rsid w:val="30405223"/>
    <w:rsid w:val="307355F9"/>
    <w:rsid w:val="308F30F0"/>
    <w:rsid w:val="30F755BF"/>
    <w:rsid w:val="310213E0"/>
    <w:rsid w:val="311F6E9E"/>
    <w:rsid w:val="31774C75"/>
    <w:rsid w:val="319C62A7"/>
    <w:rsid w:val="31C84C92"/>
    <w:rsid w:val="31EA7C43"/>
    <w:rsid w:val="31F12C79"/>
    <w:rsid w:val="32106753"/>
    <w:rsid w:val="32134558"/>
    <w:rsid w:val="321903A0"/>
    <w:rsid w:val="325E6D18"/>
    <w:rsid w:val="32695A0B"/>
    <w:rsid w:val="328C6A6A"/>
    <w:rsid w:val="32EA4A62"/>
    <w:rsid w:val="33063EDA"/>
    <w:rsid w:val="330E7C2A"/>
    <w:rsid w:val="336D3266"/>
    <w:rsid w:val="337E0743"/>
    <w:rsid w:val="338D3C09"/>
    <w:rsid w:val="33BF6438"/>
    <w:rsid w:val="33D740F0"/>
    <w:rsid w:val="33EA0FC1"/>
    <w:rsid w:val="34451E49"/>
    <w:rsid w:val="345D158C"/>
    <w:rsid w:val="34DC39D1"/>
    <w:rsid w:val="35171843"/>
    <w:rsid w:val="35474120"/>
    <w:rsid w:val="359A53D6"/>
    <w:rsid w:val="35E01715"/>
    <w:rsid w:val="35FB5B12"/>
    <w:rsid w:val="36090959"/>
    <w:rsid w:val="36257888"/>
    <w:rsid w:val="36274FEC"/>
    <w:rsid w:val="366832A7"/>
    <w:rsid w:val="36AE738B"/>
    <w:rsid w:val="36B639AD"/>
    <w:rsid w:val="37081B1F"/>
    <w:rsid w:val="37763EDD"/>
    <w:rsid w:val="38016397"/>
    <w:rsid w:val="38250907"/>
    <w:rsid w:val="382C2F15"/>
    <w:rsid w:val="38776533"/>
    <w:rsid w:val="388D4D7E"/>
    <w:rsid w:val="38A203CA"/>
    <w:rsid w:val="38ED03A5"/>
    <w:rsid w:val="38F53E2C"/>
    <w:rsid w:val="39525A9F"/>
    <w:rsid w:val="39CF5FE9"/>
    <w:rsid w:val="39FE0EE6"/>
    <w:rsid w:val="3A220ABD"/>
    <w:rsid w:val="3A775CE5"/>
    <w:rsid w:val="3AEF031F"/>
    <w:rsid w:val="3B245E6D"/>
    <w:rsid w:val="3B372CF3"/>
    <w:rsid w:val="3BA342F0"/>
    <w:rsid w:val="3C074E47"/>
    <w:rsid w:val="3C2165AA"/>
    <w:rsid w:val="3C5F007B"/>
    <w:rsid w:val="3C654AD8"/>
    <w:rsid w:val="3D1821FE"/>
    <w:rsid w:val="3D1E069A"/>
    <w:rsid w:val="3D41637D"/>
    <w:rsid w:val="3DCA470A"/>
    <w:rsid w:val="3DE477C1"/>
    <w:rsid w:val="3DEA37D3"/>
    <w:rsid w:val="3E1A60DF"/>
    <w:rsid w:val="3E23065E"/>
    <w:rsid w:val="3E6C1811"/>
    <w:rsid w:val="3EDE4585"/>
    <w:rsid w:val="3EE077BA"/>
    <w:rsid w:val="3F2336F5"/>
    <w:rsid w:val="3F990BAF"/>
    <w:rsid w:val="3FD339BE"/>
    <w:rsid w:val="40457678"/>
    <w:rsid w:val="40735384"/>
    <w:rsid w:val="409A0980"/>
    <w:rsid w:val="40A435AC"/>
    <w:rsid w:val="415E346A"/>
    <w:rsid w:val="41B94F1D"/>
    <w:rsid w:val="41C61CBC"/>
    <w:rsid w:val="41CD07B6"/>
    <w:rsid w:val="41E917E3"/>
    <w:rsid w:val="42156510"/>
    <w:rsid w:val="423623C2"/>
    <w:rsid w:val="42552DC1"/>
    <w:rsid w:val="426F40A9"/>
    <w:rsid w:val="42A72228"/>
    <w:rsid w:val="42D9753D"/>
    <w:rsid w:val="43775B60"/>
    <w:rsid w:val="43824AAC"/>
    <w:rsid w:val="4392273B"/>
    <w:rsid w:val="43B30F2F"/>
    <w:rsid w:val="454268F1"/>
    <w:rsid w:val="4555389F"/>
    <w:rsid w:val="45E7024F"/>
    <w:rsid w:val="460D6BAB"/>
    <w:rsid w:val="4631143E"/>
    <w:rsid w:val="475C25BD"/>
    <w:rsid w:val="475C3ADB"/>
    <w:rsid w:val="47EE4B27"/>
    <w:rsid w:val="481A66DE"/>
    <w:rsid w:val="48335C8C"/>
    <w:rsid w:val="49046A5C"/>
    <w:rsid w:val="490C2353"/>
    <w:rsid w:val="491E6AF8"/>
    <w:rsid w:val="49D61BFB"/>
    <w:rsid w:val="49F90166"/>
    <w:rsid w:val="4A766B19"/>
    <w:rsid w:val="4A89197D"/>
    <w:rsid w:val="4AB01C5C"/>
    <w:rsid w:val="4AD74352"/>
    <w:rsid w:val="4AE61DDE"/>
    <w:rsid w:val="4AF71603"/>
    <w:rsid w:val="4B350E11"/>
    <w:rsid w:val="4BA315C9"/>
    <w:rsid w:val="4C2F0FC1"/>
    <w:rsid w:val="4C434755"/>
    <w:rsid w:val="4D183358"/>
    <w:rsid w:val="4D64597E"/>
    <w:rsid w:val="4DA112D6"/>
    <w:rsid w:val="4DBE5CAD"/>
    <w:rsid w:val="4DC20AB2"/>
    <w:rsid w:val="4DFD2D6E"/>
    <w:rsid w:val="4E233D62"/>
    <w:rsid w:val="4EA056A9"/>
    <w:rsid w:val="4EC405E6"/>
    <w:rsid w:val="4F5434AE"/>
    <w:rsid w:val="4F6B3C13"/>
    <w:rsid w:val="4F954BE1"/>
    <w:rsid w:val="4FBB1970"/>
    <w:rsid w:val="4FE70DC0"/>
    <w:rsid w:val="501A3D68"/>
    <w:rsid w:val="50BB2978"/>
    <w:rsid w:val="50D71F67"/>
    <w:rsid w:val="50E10904"/>
    <w:rsid w:val="50EF6964"/>
    <w:rsid w:val="511F0D8E"/>
    <w:rsid w:val="512247A5"/>
    <w:rsid w:val="513714F7"/>
    <w:rsid w:val="5191036C"/>
    <w:rsid w:val="51CE5807"/>
    <w:rsid w:val="51E7284C"/>
    <w:rsid w:val="522B4F1F"/>
    <w:rsid w:val="52975A47"/>
    <w:rsid w:val="52D95337"/>
    <w:rsid w:val="53536E98"/>
    <w:rsid w:val="54293E31"/>
    <w:rsid w:val="544559FA"/>
    <w:rsid w:val="547A36D5"/>
    <w:rsid w:val="54B849E4"/>
    <w:rsid w:val="551A222C"/>
    <w:rsid w:val="56343C1C"/>
    <w:rsid w:val="567B6AC4"/>
    <w:rsid w:val="56E77687"/>
    <w:rsid w:val="57201787"/>
    <w:rsid w:val="57723665"/>
    <w:rsid w:val="57763ED1"/>
    <w:rsid w:val="578515EA"/>
    <w:rsid w:val="57AE5B48"/>
    <w:rsid w:val="58103D97"/>
    <w:rsid w:val="58BC54DF"/>
    <w:rsid w:val="58D323BE"/>
    <w:rsid w:val="59011144"/>
    <w:rsid w:val="597B15E1"/>
    <w:rsid w:val="59B21FAE"/>
    <w:rsid w:val="59CE6F2B"/>
    <w:rsid w:val="5A387224"/>
    <w:rsid w:val="5AA80B76"/>
    <w:rsid w:val="5BB10BFF"/>
    <w:rsid w:val="5C1B33CE"/>
    <w:rsid w:val="5C4F5F31"/>
    <w:rsid w:val="5C6A00A1"/>
    <w:rsid w:val="5CD9620B"/>
    <w:rsid w:val="5CE43888"/>
    <w:rsid w:val="5D0B07E3"/>
    <w:rsid w:val="5D160AAC"/>
    <w:rsid w:val="5D3D483F"/>
    <w:rsid w:val="5DBF5F9C"/>
    <w:rsid w:val="5FB63DB4"/>
    <w:rsid w:val="5FBD026E"/>
    <w:rsid w:val="5FCF3D4A"/>
    <w:rsid w:val="5FE573F6"/>
    <w:rsid w:val="604D493F"/>
    <w:rsid w:val="608D61FF"/>
    <w:rsid w:val="60B42F40"/>
    <w:rsid w:val="612A03B5"/>
    <w:rsid w:val="61333E65"/>
    <w:rsid w:val="613E38F2"/>
    <w:rsid w:val="624B3430"/>
    <w:rsid w:val="624F01F7"/>
    <w:rsid w:val="625B65A0"/>
    <w:rsid w:val="637569B7"/>
    <w:rsid w:val="64085A7D"/>
    <w:rsid w:val="640B10C9"/>
    <w:rsid w:val="65006754"/>
    <w:rsid w:val="65444892"/>
    <w:rsid w:val="65A25A5D"/>
    <w:rsid w:val="65EF15EA"/>
    <w:rsid w:val="65F77B57"/>
    <w:rsid w:val="662F7EBA"/>
    <w:rsid w:val="66C53D87"/>
    <w:rsid w:val="67185FD7"/>
    <w:rsid w:val="671A24EC"/>
    <w:rsid w:val="67261DDB"/>
    <w:rsid w:val="67553A62"/>
    <w:rsid w:val="67C25EE2"/>
    <w:rsid w:val="68264604"/>
    <w:rsid w:val="682C6D07"/>
    <w:rsid w:val="68424C4D"/>
    <w:rsid w:val="69035A27"/>
    <w:rsid w:val="69132EFA"/>
    <w:rsid w:val="698E2580"/>
    <w:rsid w:val="6A024D1C"/>
    <w:rsid w:val="6A111328"/>
    <w:rsid w:val="6A1F4FE5"/>
    <w:rsid w:val="6A661319"/>
    <w:rsid w:val="6AB22341"/>
    <w:rsid w:val="6B596BBE"/>
    <w:rsid w:val="6BA01D5F"/>
    <w:rsid w:val="6BBE16FB"/>
    <w:rsid w:val="6C1A3EED"/>
    <w:rsid w:val="6C477007"/>
    <w:rsid w:val="6C702411"/>
    <w:rsid w:val="6C77622A"/>
    <w:rsid w:val="6C9A5476"/>
    <w:rsid w:val="6CD30049"/>
    <w:rsid w:val="6CEB697F"/>
    <w:rsid w:val="6D1A412B"/>
    <w:rsid w:val="6D2158FE"/>
    <w:rsid w:val="6D504E81"/>
    <w:rsid w:val="6D82292A"/>
    <w:rsid w:val="6DF60BFF"/>
    <w:rsid w:val="6E057AE8"/>
    <w:rsid w:val="6E185A80"/>
    <w:rsid w:val="6F20072B"/>
    <w:rsid w:val="6F2F0361"/>
    <w:rsid w:val="6FB84A9F"/>
    <w:rsid w:val="6FCF56A0"/>
    <w:rsid w:val="70006EB5"/>
    <w:rsid w:val="701A355D"/>
    <w:rsid w:val="70891CF3"/>
    <w:rsid w:val="70A47AAD"/>
    <w:rsid w:val="70FE7B84"/>
    <w:rsid w:val="719C7877"/>
    <w:rsid w:val="72370209"/>
    <w:rsid w:val="725E4ABA"/>
    <w:rsid w:val="729F135A"/>
    <w:rsid w:val="72AE4B58"/>
    <w:rsid w:val="72FC77BF"/>
    <w:rsid w:val="730218E9"/>
    <w:rsid w:val="73317C2B"/>
    <w:rsid w:val="73930A62"/>
    <w:rsid w:val="73F673C0"/>
    <w:rsid w:val="742064CB"/>
    <w:rsid w:val="742443F8"/>
    <w:rsid w:val="74343D24"/>
    <w:rsid w:val="743E2DF5"/>
    <w:rsid w:val="744664D4"/>
    <w:rsid w:val="744B45C1"/>
    <w:rsid w:val="750E6BA9"/>
    <w:rsid w:val="751678CE"/>
    <w:rsid w:val="754F5DE1"/>
    <w:rsid w:val="760D0A06"/>
    <w:rsid w:val="763D5EC9"/>
    <w:rsid w:val="76644C43"/>
    <w:rsid w:val="769B452E"/>
    <w:rsid w:val="76BB5304"/>
    <w:rsid w:val="76BE2A1F"/>
    <w:rsid w:val="773E5285"/>
    <w:rsid w:val="782C7B94"/>
    <w:rsid w:val="78BA6329"/>
    <w:rsid w:val="78EA379F"/>
    <w:rsid w:val="79045E32"/>
    <w:rsid w:val="79EB1329"/>
    <w:rsid w:val="7A283CB1"/>
    <w:rsid w:val="7A3727C0"/>
    <w:rsid w:val="7A6D4434"/>
    <w:rsid w:val="7AD4000F"/>
    <w:rsid w:val="7ADD1BA5"/>
    <w:rsid w:val="7B4968A6"/>
    <w:rsid w:val="7BCA261C"/>
    <w:rsid w:val="7BD61B65"/>
    <w:rsid w:val="7C2154D6"/>
    <w:rsid w:val="7C532BE5"/>
    <w:rsid w:val="7C977F10"/>
    <w:rsid w:val="7CC8011E"/>
    <w:rsid w:val="7CCF4F32"/>
    <w:rsid w:val="7CD567A1"/>
    <w:rsid w:val="7CE64029"/>
    <w:rsid w:val="7D2E7EAA"/>
    <w:rsid w:val="7D3E71EA"/>
    <w:rsid w:val="7D6A7876"/>
    <w:rsid w:val="7D88564C"/>
    <w:rsid w:val="7D8B26DC"/>
    <w:rsid w:val="7E234610"/>
    <w:rsid w:val="7E3F2705"/>
    <w:rsid w:val="7E5E358C"/>
    <w:rsid w:val="7E6C3ECF"/>
    <w:rsid w:val="7E891110"/>
    <w:rsid w:val="7ECE5FAD"/>
    <w:rsid w:val="7F41760E"/>
    <w:rsid w:val="7F4F5993"/>
    <w:rsid w:val="7F9F0FE3"/>
    <w:rsid w:val="7FA4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9"/>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link w:val="18"/>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hAnsi="宋体"/>
    </w:rPr>
  </w:style>
  <w:style w:type="paragraph" w:styleId="3">
    <w:name w:val="Body Text Indent"/>
    <w:basedOn w:val="1"/>
    <w:qFormat/>
    <w:uiPriority w:val="0"/>
    <w:pPr>
      <w:ind w:firstLine="200" w:firstLineChars="200"/>
    </w:pPr>
    <w:rPr>
      <w:rFonts w:ascii="仿宋_GB2312" w:hAnsi="宋体" w:eastAsia="仿宋_GB2312" w:cs="宋体"/>
      <w:sz w:val="28"/>
    </w:rPr>
  </w:style>
  <w:style w:type="paragraph" w:styleId="7">
    <w:name w:val="Normal Indent"/>
    <w:next w:val="1"/>
    <w:qFormat/>
    <w:uiPriority w:val="0"/>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styleId="8">
    <w:name w:val="Document Map"/>
    <w:unhideWhenUsed/>
    <w:qFormat/>
    <w:uiPriority w:val="99"/>
    <w:pPr>
      <w:widowControl w:val="0"/>
      <w:jc w:val="both"/>
    </w:pPr>
    <w:rPr>
      <w:rFonts w:ascii="宋体" w:hAnsi="Times New Roman" w:eastAsia="宋体" w:cs="Times New Roman"/>
      <w:kern w:val="2"/>
      <w:sz w:val="18"/>
      <w:szCs w:val="18"/>
      <w:lang w:val="en-US" w:eastAsia="zh-CN" w:bidi="ar-SA"/>
    </w:rPr>
  </w:style>
  <w:style w:type="paragraph" w:styleId="9">
    <w:name w:val="Block Text"/>
    <w:qFormat/>
    <w:uiPriority w:val="0"/>
    <w:pPr>
      <w:widowControl/>
      <w:spacing w:after="120"/>
      <w:ind w:left="1440" w:leftChars="700" w:right="1440" w:rightChars="700"/>
      <w:jc w:val="left"/>
    </w:pPr>
    <w:rPr>
      <w:rFonts w:asciiTheme="minorHAnsi" w:hAnsiTheme="minorHAnsi" w:eastAsiaTheme="minorEastAsia" w:cstheme="minorBidi"/>
      <w:kern w:val="0"/>
      <w:sz w:val="20"/>
      <w:szCs w:val="24"/>
      <w:lang w:val="en-US" w:eastAsia="zh-CN" w:bidi="ar-SA"/>
    </w:r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table" w:styleId="1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标题 2 Char"/>
    <w:link w:val="5"/>
    <w:qFormat/>
    <w:uiPriority w:val="0"/>
    <w:rPr>
      <w:rFonts w:ascii="Arial" w:hAnsi="Arial" w:eastAsia="黑体"/>
      <w:b/>
      <w:sz w:val="32"/>
    </w:rPr>
  </w:style>
  <w:style w:type="character" w:customStyle="1" w:styleId="19">
    <w:name w:val="标题 1 Char"/>
    <w:link w:val="4"/>
    <w:qFormat/>
    <w:uiPriority w:val="0"/>
    <w:rPr>
      <w:b/>
      <w:kern w:val="44"/>
      <w:sz w:val="44"/>
    </w:rPr>
  </w:style>
  <w:style w:type="character" w:customStyle="1" w:styleId="20">
    <w:name w:val="font111"/>
    <w:basedOn w:val="17"/>
    <w:qFormat/>
    <w:uiPriority w:val="0"/>
    <w:rPr>
      <w:rFonts w:hint="eastAsia" w:ascii="宋体" w:hAnsi="宋体" w:eastAsia="宋体" w:cs="宋体"/>
      <w:color w:val="000000"/>
      <w:sz w:val="28"/>
      <w:szCs w:val="28"/>
      <w:u w:val="none"/>
    </w:rPr>
  </w:style>
  <w:style w:type="character" w:customStyle="1" w:styleId="21">
    <w:name w:val="font122"/>
    <w:basedOn w:val="17"/>
    <w:qFormat/>
    <w:uiPriority w:val="0"/>
    <w:rPr>
      <w:rFonts w:hint="default" w:ascii="Tahoma" w:hAnsi="Tahoma" w:eastAsia="Tahoma" w:cs="Tahoma"/>
      <w:color w:val="000000"/>
      <w:sz w:val="28"/>
      <w:szCs w:val="28"/>
      <w:u w:val="none"/>
    </w:rPr>
  </w:style>
  <w:style w:type="character" w:customStyle="1" w:styleId="22">
    <w:name w:val="font112"/>
    <w:basedOn w:val="17"/>
    <w:qFormat/>
    <w:uiPriority w:val="0"/>
    <w:rPr>
      <w:rFonts w:hint="eastAsia" w:ascii="宋体" w:hAnsi="宋体" w:eastAsia="宋体" w:cs="宋体"/>
      <w:color w:val="000000"/>
      <w:sz w:val="28"/>
      <w:szCs w:val="28"/>
      <w:u w:val="none"/>
    </w:rPr>
  </w:style>
  <w:style w:type="character" w:customStyle="1" w:styleId="23">
    <w:name w:val="font121"/>
    <w:basedOn w:val="17"/>
    <w:qFormat/>
    <w:uiPriority w:val="0"/>
    <w:rPr>
      <w:rFonts w:hint="default" w:ascii="Tahoma" w:hAnsi="Tahoma" w:eastAsia="Tahoma" w:cs="Tahoma"/>
      <w:color w:val="000000"/>
      <w:sz w:val="28"/>
      <w:szCs w:val="28"/>
      <w:u w:val="none"/>
    </w:rPr>
  </w:style>
  <w:style w:type="paragraph" w:customStyle="1" w:styleId="2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云南省政府办公厅</Company>
  <Pages>47</Pages>
  <Words>21672</Words>
  <Characters>23086</Characters>
  <Lines>0</Lines>
  <Paragraphs>0</Paragraphs>
  <TotalTime>5</TotalTime>
  <ScaleCrop>false</ScaleCrop>
  <LinksUpToDate>false</LinksUpToDate>
  <CharactersWithSpaces>24223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2021-11-10T08:20:00Z</dcterms:created>
  <dc:creator>一生</dc:creator>
  <cp:lastModifiedBy>一生</cp:lastModifiedBy>
  <dcterms:modified xsi:type="dcterms:W3CDTF">2022-05-17T08:29:01Z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B731D909E10141EBA6A128C12B378118</vt:lpwstr>
  </property>
</Properties>
</file>