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Times New Roman"/>
          <w:b/>
          <w:color w:val="auto"/>
          <w:sz w:val="44"/>
          <w:szCs w:val="44"/>
          <w:highlight w:val="none"/>
        </w:rPr>
      </w:pPr>
      <w:r>
        <w:rPr>
          <w:rFonts w:hint="eastAsia" w:ascii="宋体" w:hAnsi="宋体" w:cs="Times New Roman"/>
          <w:b/>
          <w:color w:val="auto"/>
          <w:sz w:val="44"/>
          <w:szCs w:val="44"/>
          <w:highlight w:val="none"/>
        </w:rPr>
        <w:t>楚雄医药高等专科学校食堂餐具洗消间服务</w:t>
      </w:r>
    </w:p>
    <w:p>
      <w:pPr>
        <w:spacing w:line="360" w:lineRule="auto"/>
        <w:jc w:val="center"/>
        <w:rPr>
          <w:rFonts w:ascii="宋体" w:hAnsi="宋体" w:eastAsia="宋体" w:cs="宋体"/>
          <w:color w:val="auto"/>
          <w:sz w:val="32"/>
          <w:szCs w:val="32"/>
          <w:highlight w:val="none"/>
        </w:rPr>
      </w:pPr>
      <w:r>
        <w:rPr>
          <w:rFonts w:hint="eastAsia" w:ascii="宋体" w:hAnsi="宋体" w:cs="Times New Roman"/>
          <w:b/>
          <w:color w:val="auto"/>
          <w:sz w:val="44"/>
          <w:szCs w:val="44"/>
          <w:highlight w:val="none"/>
        </w:rPr>
        <w:t>采购项目</w:t>
      </w:r>
    </w:p>
    <w:p>
      <w:pPr>
        <w:spacing w:line="360" w:lineRule="auto"/>
        <w:jc w:val="center"/>
        <w:rPr>
          <w:rFonts w:ascii="宋体" w:hAnsi="宋体" w:eastAsia="宋体" w:cs="宋体"/>
          <w:color w:val="auto"/>
          <w:sz w:val="32"/>
          <w:szCs w:val="32"/>
          <w:highlight w:val="none"/>
        </w:rPr>
      </w:pPr>
    </w:p>
    <w:p>
      <w:pPr>
        <w:spacing w:line="360" w:lineRule="auto"/>
        <w:jc w:val="center"/>
        <w:rPr>
          <w:rFonts w:ascii="宋体" w:hAnsi="宋体" w:eastAsia="宋体" w:cs="宋体"/>
          <w:color w:val="auto"/>
          <w:sz w:val="32"/>
          <w:szCs w:val="32"/>
          <w:highlight w:val="none"/>
        </w:rPr>
      </w:pPr>
    </w:p>
    <w:p>
      <w:pPr>
        <w:spacing w:line="360" w:lineRule="auto"/>
        <w:jc w:val="center"/>
        <w:rPr>
          <w:rFonts w:ascii="宋体" w:hAnsi="宋体" w:eastAsia="宋体" w:cs="宋体"/>
          <w:color w:val="auto"/>
          <w:sz w:val="32"/>
          <w:szCs w:val="32"/>
          <w:highlight w:val="none"/>
        </w:rPr>
      </w:pPr>
    </w:p>
    <w:p>
      <w:pPr>
        <w:spacing w:line="360" w:lineRule="auto"/>
        <w:jc w:val="center"/>
        <w:rPr>
          <w:rFonts w:ascii="宋体" w:hAnsi="宋体" w:eastAsia="宋体" w:cs="宋体"/>
          <w:color w:val="auto"/>
          <w:sz w:val="32"/>
          <w:szCs w:val="32"/>
          <w:highlight w:val="none"/>
        </w:rPr>
      </w:pPr>
    </w:p>
    <w:p>
      <w:pPr>
        <w:spacing w:line="360" w:lineRule="auto"/>
        <w:jc w:val="center"/>
        <w:rPr>
          <w:rFonts w:ascii="宋体" w:hAnsi="宋体" w:eastAsia="宋体" w:cs="宋体"/>
          <w:color w:val="auto"/>
          <w:sz w:val="32"/>
          <w:szCs w:val="32"/>
          <w:highlight w:val="none"/>
        </w:rPr>
      </w:pPr>
    </w:p>
    <w:p>
      <w:pPr>
        <w:spacing w:line="360" w:lineRule="auto"/>
        <w:jc w:val="center"/>
        <w:rPr>
          <w:rFonts w:ascii="宋体" w:hAnsi="宋体" w:eastAsia="宋体" w:cs="Times New Roman"/>
          <w:b/>
          <w:bCs/>
          <w:color w:val="auto"/>
          <w:sz w:val="72"/>
          <w:szCs w:val="72"/>
          <w:highlight w:val="none"/>
        </w:rPr>
      </w:pPr>
      <w:r>
        <w:rPr>
          <w:rFonts w:hint="eastAsia" w:ascii="宋体" w:hAnsi="宋体" w:eastAsia="宋体" w:cs="Times New Roman"/>
          <w:b/>
          <w:bCs/>
          <w:color w:val="auto"/>
          <w:sz w:val="72"/>
          <w:szCs w:val="72"/>
          <w:highlight w:val="none"/>
        </w:rPr>
        <w:t>竞争性磋商文件</w:t>
      </w:r>
    </w:p>
    <w:p>
      <w:pPr>
        <w:spacing w:line="360" w:lineRule="auto"/>
        <w:jc w:val="center"/>
        <w:rPr>
          <w:rFonts w:ascii="宋体" w:hAnsi="宋体" w:eastAsia="宋体" w:cs="宋体"/>
          <w:b/>
          <w:bCs/>
          <w:color w:val="auto"/>
          <w:sz w:val="32"/>
          <w:szCs w:val="32"/>
          <w:highlight w:val="none"/>
        </w:rPr>
      </w:pPr>
      <w:r>
        <w:rPr>
          <w:rFonts w:ascii="Times New Roman" w:hAnsi="Times New Roman" w:eastAsia="宋体" w:cs="Times New Roman"/>
          <w:b/>
          <w:bCs/>
          <w:color w:val="auto"/>
          <w:sz w:val="32"/>
          <w:szCs w:val="32"/>
          <w:highlight w:val="none"/>
        </w:rPr>
        <w:t>项目编号：</w:t>
      </w:r>
      <w:r>
        <w:rPr>
          <w:rFonts w:hint="eastAsia" w:ascii="Times New Roman" w:hAnsi="Times New Roman" w:eastAsia="宋体" w:cs="Times New Roman"/>
          <w:b/>
          <w:bCs/>
          <w:color w:val="auto"/>
          <w:sz w:val="32"/>
          <w:szCs w:val="32"/>
          <w:highlight w:val="none"/>
        </w:rPr>
        <w:t>CXYZC【2023】第</w:t>
      </w:r>
      <w:r>
        <w:rPr>
          <w:rFonts w:hint="eastAsia" w:ascii="Times New Roman" w:hAnsi="Times New Roman" w:eastAsia="宋体" w:cs="Times New Roman"/>
          <w:b/>
          <w:bCs/>
          <w:color w:val="auto"/>
          <w:sz w:val="32"/>
          <w:szCs w:val="32"/>
          <w:highlight w:val="none"/>
          <w:lang w:val="en-US" w:eastAsia="zh-CN"/>
        </w:rPr>
        <w:t>1</w:t>
      </w:r>
      <w:r>
        <w:rPr>
          <w:rFonts w:hint="eastAsia" w:ascii="Times New Roman" w:hAnsi="Times New Roman" w:eastAsia="宋体" w:cs="Times New Roman"/>
          <w:b/>
          <w:bCs/>
          <w:color w:val="auto"/>
          <w:sz w:val="32"/>
          <w:szCs w:val="32"/>
          <w:highlight w:val="none"/>
        </w:rPr>
        <w:t>号</w:t>
      </w:r>
    </w:p>
    <w:p>
      <w:pPr>
        <w:spacing w:line="360" w:lineRule="auto"/>
        <w:jc w:val="center"/>
        <w:rPr>
          <w:rFonts w:ascii="宋体" w:hAnsi="宋体" w:eastAsia="宋体" w:cs="宋体"/>
          <w:color w:val="auto"/>
          <w:sz w:val="32"/>
          <w:szCs w:val="32"/>
          <w:highlight w:val="none"/>
        </w:rPr>
      </w:pPr>
    </w:p>
    <w:p>
      <w:pPr>
        <w:spacing w:line="360" w:lineRule="auto"/>
        <w:rPr>
          <w:rFonts w:ascii="宋体" w:hAnsi="宋体" w:eastAsia="宋体" w:cs="宋体"/>
          <w:color w:val="auto"/>
          <w:szCs w:val="20"/>
          <w:highlight w:val="none"/>
        </w:rPr>
      </w:pPr>
    </w:p>
    <w:p>
      <w:pPr>
        <w:spacing w:line="360" w:lineRule="auto"/>
        <w:rPr>
          <w:rFonts w:ascii="宋体" w:hAnsi="宋体" w:eastAsia="宋体" w:cs="宋体"/>
          <w:color w:val="auto"/>
          <w:szCs w:val="20"/>
          <w:highlight w:val="none"/>
        </w:rPr>
      </w:pPr>
    </w:p>
    <w:p>
      <w:pPr>
        <w:spacing w:line="360" w:lineRule="auto"/>
        <w:rPr>
          <w:rFonts w:ascii="宋体" w:hAnsi="宋体" w:eastAsia="宋体" w:cs="宋体"/>
          <w:color w:val="auto"/>
          <w:szCs w:val="20"/>
          <w:highlight w:val="none"/>
        </w:rPr>
      </w:pPr>
    </w:p>
    <w:p>
      <w:pPr>
        <w:spacing w:line="360" w:lineRule="auto"/>
        <w:rPr>
          <w:rFonts w:ascii="宋体" w:hAnsi="宋体" w:eastAsia="宋体" w:cs="宋体"/>
          <w:color w:val="auto"/>
          <w:szCs w:val="20"/>
          <w:highlight w:val="none"/>
        </w:rPr>
      </w:pPr>
    </w:p>
    <w:p>
      <w:pPr>
        <w:spacing w:line="360" w:lineRule="auto"/>
        <w:rPr>
          <w:rFonts w:ascii="宋体" w:hAnsi="宋体" w:eastAsia="宋体" w:cs="宋体"/>
          <w:color w:val="auto"/>
          <w:szCs w:val="20"/>
          <w:highlight w:val="none"/>
        </w:rPr>
      </w:pPr>
    </w:p>
    <w:p>
      <w:pPr>
        <w:spacing w:line="360" w:lineRule="auto"/>
        <w:rPr>
          <w:rFonts w:ascii="宋体" w:hAnsi="宋体" w:eastAsia="宋体" w:cs="宋体"/>
          <w:color w:val="auto"/>
          <w:szCs w:val="20"/>
          <w:highlight w:val="none"/>
        </w:rPr>
      </w:pPr>
    </w:p>
    <w:p>
      <w:pPr>
        <w:spacing w:line="360" w:lineRule="auto"/>
        <w:rPr>
          <w:rFonts w:ascii="宋体" w:hAnsi="宋体" w:eastAsia="宋体" w:cs="宋体"/>
          <w:b/>
          <w:bCs/>
          <w:color w:val="auto"/>
          <w:sz w:val="32"/>
          <w:szCs w:val="32"/>
          <w:highlight w:val="none"/>
        </w:rPr>
      </w:pPr>
      <w:r>
        <w:rPr>
          <w:rFonts w:hint="eastAsia" w:ascii="宋体" w:hAnsi="宋体" w:eastAsia="宋体" w:cs="宋体"/>
          <w:b/>
          <w:bCs/>
          <w:color w:val="auto"/>
          <w:sz w:val="30"/>
          <w:szCs w:val="30"/>
          <w:highlight w:val="none"/>
        </w:rPr>
        <w:t>采购人：楚雄医药高等专科学校各食堂餐饮管理服务机构及委托经营人</w:t>
      </w:r>
    </w:p>
    <w:p>
      <w:pPr>
        <w:spacing w:line="360" w:lineRule="auto"/>
        <w:jc w:val="center"/>
        <w:rPr>
          <w:rFonts w:ascii="宋体" w:hAnsi="宋体" w:eastAsia="宋体" w:cs="宋体"/>
          <w:b/>
          <w:bCs/>
          <w:color w:val="auto"/>
          <w:sz w:val="32"/>
          <w:szCs w:val="32"/>
          <w:highlight w:val="none"/>
        </w:rPr>
      </w:pPr>
    </w:p>
    <w:p>
      <w:pPr>
        <w:spacing w:line="360" w:lineRule="auto"/>
        <w:jc w:val="center"/>
        <w:rPr>
          <w:rFonts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t>2023年1月</w:t>
      </w:r>
    </w:p>
    <w:p>
      <w:pPr>
        <w:spacing w:line="360" w:lineRule="auto"/>
        <w:jc w:val="center"/>
        <w:rPr>
          <w:rFonts w:ascii="宋体" w:hAnsi="宋体" w:eastAsia="宋体" w:cs="宋体"/>
          <w:b/>
          <w:bCs/>
          <w:color w:val="auto"/>
          <w:sz w:val="32"/>
          <w:szCs w:val="32"/>
          <w:highlight w:val="none"/>
        </w:rPr>
        <w:sectPr>
          <w:headerReference r:id="rId3" w:type="first"/>
          <w:footerReference r:id="rId6" w:type="first"/>
          <w:footerReference r:id="rId4" w:type="default"/>
          <w:footerReference r:id="rId5" w:type="even"/>
          <w:pgSz w:w="11906" w:h="16838"/>
          <w:pgMar w:top="1418" w:right="1134" w:bottom="1134" w:left="1417" w:header="779" w:footer="720" w:gutter="0"/>
          <w:pgNumType w:start="1"/>
          <w:cols w:space="720" w:num="1"/>
          <w:titlePg/>
          <w:docGrid w:linePitch="331" w:charSpace="0"/>
        </w:sectPr>
      </w:pPr>
    </w:p>
    <w:p>
      <w:pPr>
        <w:keepNext/>
        <w:keepLines/>
        <w:widowControl/>
        <w:tabs>
          <w:tab w:val="left" w:pos="360"/>
        </w:tabs>
        <w:spacing w:before="240" w:line="259" w:lineRule="auto"/>
        <w:jc w:val="center"/>
        <w:rPr>
          <w:rFonts w:ascii="宋体" w:hAnsi="宋体" w:eastAsia="宋体" w:cs="宋体"/>
          <w:b/>
          <w:color w:val="auto"/>
          <w:kern w:val="0"/>
          <w:sz w:val="44"/>
          <w:szCs w:val="44"/>
          <w:highlight w:val="none"/>
        </w:rPr>
      </w:pPr>
      <w:r>
        <w:rPr>
          <w:rFonts w:hint="eastAsia" w:ascii="宋体" w:hAnsi="宋体" w:eastAsia="宋体" w:cs="宋体"/>
          <w:b/>
          <w:color w:val="auto"/>
          <w:kern w:val="0"/>
          <w:sz w:val="44"/>
          <w:szCs w:val="44"/>
          <w:highlight w:val="none"/>
          <w:lang w:val="zh-CN"/>
        </w:rPr>
        <w:t>目录</w:t>
      </w:r>
    </w:p>
    <w:p>
      <w:pPr>
        <w:pStyle w:val="15"/>
        <w:tabs>
          <w:tab w:val="right" w:leader="dot" w:pos="9355"/>
        </w:tabs>
        <w:rPr>
          <w:rFonts w:hint="default" w:ascii="Times New Roman" w:hAnsi="Times New Roman" w:cs="Times New Roman"/>
        </w:rPr>
      </w:pPr>
      <w:r>
        <w:rPr>
          <w:rFonts w:ascii="Times New Roman" w:hAnsi="Times New Roman" w:eastAsia="宋体" w:cs="Times New Roman"/>
          <w:bCs/>
          <w:caps/>
          <w:color w:val="auto"/>
          <w:szCs w:val="20"/>
          <w:highlight w:val="none"/>
        </w:rPr>
        <w:fldChar w:fldCharType="begin"/>
      </w:r>
      <w:r>
        <w:rPr>
          <w:rFonts w:ascii="Times New Roman" w:hAnsi="Times New Roman" w:eastAsia="宋体" w:cs="Times New Roman"/>
          <w:bCs/>
          <w:caps/>
          <w:color w:val="auto"/>
          <w:szCs w:val="20"/>
          <w:highlight w:val="none"/>
        </w:rPr>
        <w:instrText xml:space="preserve">TOC \o "1-3" \h \u </w:instrText>
      </w:r>
      <w:r>
        <w:rPr>
          <w:rFonts w:ascii="Times New Roman" w:hAnsi="Times New Roman" w:eastAsia="宋体" w:cs="Times New Roman"/>
          <w:bCs/>
          <w:caps/>
          <w:color w:val="auto"/>
          <w:szCs w:val="20"/>
          <w:highlight w:val="none"/>
        </w:rPr>
        <w:fldChar w:fldCharType="separate"/>
      </w:r>
      <w:r>
        <w:rPr>
          <w:rFonts w:hint="default" w:ascii="Times New Roman" w:hAnsi="Times New Roman" w:eastAsia="宋体" w:cs="Times New Roman"/>
          <w:bCs/>
          <w:caps/>
          <w:color w:val="auto"/>
          <w:szCs w:val="20"/>
          <w:highlight w:val="none"/>
        </w:rPr>
        <w:fldChar w:fldCharType="begin"/>
      </w:r>
      <w:r>
        <w:rPr>
          <w:rFonts w:hint="default" w:ascii="Times New Roman" w:hAnsi="Times New Roman" w:eastAsia="宋体" w:cs="Times New Roman"/>
          <w:bCs/>
          <w:caps/>
          <w:szCs w:val="20"/>
          <w:highlight w:val="none"/>
        </w:rPr>
        <w:instrText xml:space="preserve"> HYPERLINK \l _Toc12098 </w:instrText>
      </w:r>
      <w:r>
        <w:rPr>
          <w:rFonts w:hint="default" w:ascii="Times New Roman" w:hAnsi="Times New Roman" w:eastAsia="宋体" w:cs="Times New Roman"/>
          <w:bCs/>
          <w:caps/>
          <w:szCs w:val="20"/>
          <w:highlight w:val="none"/>
        </w:rPr>
        <w:fldChar w:fldCharType="separate"/>
      </w:r>
      <w:r>
        <w:rPr>
          <w:rFonts w:hint="default" w:ascii="Times New Roman" w:hAnsi="Times New Roman" w:cs="Times New Roman"/>
          <w:highlight w:val="none"/>
        </w:rPr>
        <w:t>第一章   竞争性磋商公告</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_Toc12098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eastAsia="宋体" w:cs="Times New Roman"/>
          <w:bCs/>
          <w:caps/>
          <w:color w:val="auto"/>
          <w:szCs w:val="20"/>
          <w:highlight w:val="none"/>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color w:val="auto"/>
          <w:szCs w:val="20"/>
          <w:highlight w:val="none"/>
        </w:rPr>
        <w:fldChar w:fldCharType="begin"/>
      </w:r>
      <w:r>
        <w:rPr>
          <w:rFonts w:hint="default" w:ascii="Times New Roman" w:hAnsi="Times New Roman" w:eastAsia="宋体" w:cs="Times New Roman"/>
          <w:szCs w:val="20"/>
          <w:highlight w:val="none"/>
        </w:rPr>
        <w:instrText xml:space="preserve"> HYPERLINK \l _Toc11582 </w:instrText>
      </w:r>
      <w:r>
        <w:rPr>
          <w:rFonts w:hint="default" w:ascii="Times New Roman" w:hAnsi="Times New Roman" w:eastAsia="宋体" w:cs="Times New Roman"/>
          <w:szCs w:val="20"/>
          <w:highlight w:val="none"/>
        </w:rPr>
        <w:fldChar w:fldCharType="separate"/>
      </w:r>
      <w:r>
        <w:rPr>
          <w:rFonts w:hint="default" w:ascii="Times New Roman" w:hAnsi="Times New Roman" w:eastAsia="宋体" w:cs="Times New Roman"/>
          <w:highlight w:val="none"/>
        </w:rPr>
        <w:t>1.1 项目基本情况</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_Toc11582 \h </w:instrText>
      </w:r>
      <w:r>
        <w:rPr>
          <w:rFonts w:hint="default" w:ascii="Times New Roman" w:hAnsi="Times New Roman" w:cs="Times New Roman"/>
        </w:rPr>
        <w:fldChar w:fldCharType="separate"/>
      </w:r>
      <w:r>
        <w:rPr>
          <w:rFonts w:hint="default" w:ascii="Times New Roman" w:hAnsi="Times New Roman" w:cs="Times New Roman"/>
        </w:rPr>
        <w:t>2</w:t>
      </w:r>
      <w:r>
        <w:rPr>
          <w:rFonts w:hint="default" w:ascii="Times New Roman" w:hAnsi="Times New Roman" w:cs="Times New Roman"/>
        </w:rPr>
        <w:fldChar w:fldCharType="end"/>
      </w:r>
      <w:r>
        <w:rPr>
          <w:rFonts w:hint="default" w:ascii="Times New Roman" w:hAnsi="Times New Roman" w:eastAsia="宋体" w:cs="Times New Roman"/>
          <w:color w:val="auto"/>
          <w:szCs w:val="20"/>
          <w:highlight w:val="none"/>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color w:val="auto"/>
          <w:szCs w:val="20"/>
          <w:highlight w:val="none"/>
        </w:rPr>
        <w:fldChar w:fldCharType="begin"/>
      </w:r>
      <w:r>
        <w:rPr>
          <w:rFonts w:hint="default" w:ascii="Times New Roman" w:hAnsi="Times New Roman" w:eastAsia="宋体" w:cs="Times New Roman"/>
          <w:szCs w:val="20"/>
          <w:highlight w:val="none"/>
        </w:rPr>
        <w:instrText xml:space="preserve"> HYPERLINK \l _Toc28177 </w:instrText>
      </w:r>
      <w:r>
        <w:rPr>
          <w:rFonts w:hint="default" w:ascii="Times New Roman" w:hAnsi="Times New Roman" w:eastAsia="宋体" w:cs="Times New Roman"/>
          <w:szCs w:val="20"/>
          <w:highlight w:val="none"/>
        </w:rPr>
        <w:fldChar w:fldCharType="separate"/>
      </w:r>
      <w:r>
        <w:rPr>
          <w:rFonts w:hint="default" w:ascii="Times New Roman" w:hAnsi="Times New Roman" w:eastAsia="宋体" w:cs="Times New Roman"/>
          <w:highlight w:val="none"/>
        </w:rPr>
        <w:t>1.2 申请人的资格要求</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_Toc28177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eastAsia="宋体" w:cs="Times New Roman"/>
          <w:color w:val="auto"/>
          <w:szCs w:val="20"/>
          <w:highlight w:val="none"/>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color w:val="auto"/>
          <w:szCs w:val="20"/>
          <w:highlight w:val="none"/>
        </w:rPr>
        <w:fldChar w:fldCharType="begin"/>
      </w:r>
      <w:r>
        <w:rPr>
          <w:rFonts w:hint="default" w:ascii="Times New Roman" w:hAnsi="Times New Roman" w:eastAsia="宋体" w:cs="Times New Roman"/>
          <w:szCs w:val="20"/>
          <w:highlight w:val="none"/>
        </w:rPr>
        <w:instrText xml:space="preserve"> HYPERLINK \l _Toc1590 </w:instrText>
      </w:r>
      <w:r>
        <w:rPr>
          <w:rFonts w:hint="default" w:ascii="Times New Roman" w:hAnsi="Times New Roman" w:eastAsia="宋体" w:cs="Times New Roman"/>
          <w:szCs w:val="20"/>
          <w:highlight w:val="none"/>
        </w:rPr>
        <w:fldChar w:fldCharType="separate"/>
      </w:r>
      <w:r>
        <w:rPr>
          <w:rFonts w:hint="default" w:ascii="Times New Roman" w:hAnsi="Times New Roman" w:eastAsia="宋体" w:cs="Times New Roman"/>
          <w:highlight w:val="none"/>
        </w:rPr>
        <w:t>1.3 获取采购文件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_Toc1590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eastAsia="宋体" w:cs="Times New Roman"/>
          <w:color w:val="auto"/>
          <w:szCs w:val="20"/>
          <w:highlight w:val="none"/>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color w:val="auto"/>
          <w:szCs w:val="20"/>
          <w:highlight w:val="none"/>
        </w:rPr>
        <w:fldChar w:fldCharType="begin"/>
      </w:r>
      <w:r>
        <w:rPr>
          <w:rFonts w:hint="default" w:ascii="Times New Roman" w:hAnsi="Times New Roman" w:eastAsia="宋体" w:cs="Times New Roman"/>
          <w:szCs w:val="20"/>
          <w:highlight w:val="none"/>
        </w:rPr>
        <w:instrText xml:space="preserve"> HYPERLINK \l _Toc19741 </w:instrText>
      </w:r>
      <w:r>
        <w:rPr>
          <w:rFonts w:hint="default" w:ascii="Times New Roman" w:hAnsi="Times New Roman" w:eastAsia="宋体" w:cs="Times New Roman"/>
          <w:szCs w:val="20"/>
          <w:highlight w:val="none"/>
        </w:rPr>
        <w:fldChar w:fldCharType="separate"/>
      </w:r>
      <w:r>
        <w:rPr>
          <w:rFonts w:hint="default" w:ascii="Times New Roman" w:hAnsi="Times New Roman" w:eastAsia="宋体" w:cs="Times New Roman"/>
          <w:highlight w:val="none"/>
        </w:rPr>
        <w:t>1.4 响应文件提交</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_Toc19741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eastAsia="宋体" w:cs="Times New Roman"/>
          <w:color w:val="auto"/>
          <w:szCs w:val="20"/>
          <w:highlight w:val="none"/>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color w:val="auto"/>
          <w:szCs w:val="20"/>
          <w:highlight w:val="none"/>
        </w:rPr>
        <w:fldChar w:fldCharType="begin"/>
      </w:r>
      <w:r>
        <w:rPr>
          <w:rFonts w:hint="default" w:ascii="Times New Roman" w:hAnsi="Times New Roman" w:eastAsia="宋体" w:cs="Times New Roman"/>
          <w:szCs w:val="20"/>
          <w:highlight w:val="none"/>
        </w:rPr>
        <w:instrText xml:space="preserve"> HYPERLINK \l _Toc11477 </w:instrText>
      </w:r>
      <w:r>
        <w:rPr>
          <w:rFonts w:hint="default" w:ascii="Times New Roman" w:hAnsi="Times New Roman" w:eastAsia="宋体" w:cs="Times New Roman"/>
          <w:szCs w:val="20"/>
          <w:highlight w:val="none"/>
        </w:rPr>
        <w:fldChar w:fldCharType="separate"/>
      </w:r>
      <w:r>
        <w:rPr>
          <w:rFonts w:hint="default" w:ascii="Times New Roman" w:hAnsi="Times New Roman" w:eastAsia="宋体" w:cs="Times New Roman"/>
          <w:highlight w:val="none"/>
        </w:rPr>
        <w:t>1.5 开启</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_Toc11477 \h </w:instrText>
      </w:r>
      <w:r>
        <w:rPr>
          <w:rFonts w:hint="default" w:ascii="Times New Roman" w:hAnsi="Times New Roman" w:cs="Times New Roman"/>
        </w:rPr>
        <w:fldChar w:fldCharType="separate"/>
      </w:r>
      <w:r>
        <w:rPr>
          <w:rFonts w:hint="default" w:ascii="Times New Roman" w:hAnsi="Times New Roman" w:cs="Times New Roman"/>
        </w:rPr>
        <w:t>3</w:t>
      </w:r>
      <w:r>
        <w:rPr>
          <w:rFonts w:hint="default" w:ascii="Times New Roman" w:hAnsi="Times New Roman" w:cs="Times New Roman"/>
        </w:rPr>
        <w:fldChar w:fldCharType="end"/>
      </w:r>
      <w:r>
        <w:rPr>
          <w:rFonts w:hint="default" w:ascii="Times New Roman" w:hAnsi="Times New Roman" w:eastAsia="宋体" w:cs="Times New Roman"/>
          <w:color w:val="auto"/>
          <w:szCs w:val="20"/>
          <w:highlight w:val="none"/>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color w:val="auto"/>
          <w:szCs w:val="20"/>
          <w:highlight w:val="none"/>
        </w:rPr>
        <w:fldChar w:fldCharType="begin"/>
      </w:r>
      <w:r>
        <w:rPr>
          <w:rFonts w:hint="default" w:ascii="Times New Roman" w:hAnsi="Times New Roman" w:eastAsia="宋体" w:cs="Times New Roman"/>
          <w:szCs w:val="20"/>
          <w:highlight w:val="none"/>
        </w:rPr>
        <w:instrText xml:space="preserve"> HYPERLINK \l _Toc2323 </w:instrText>
      </w:r>
      <w:r>
        <w:rPr>
          <w:rFonts w:hint="default" w:ascii="Times New Roman" w:hAnsi="Times New Roman" w:eastAsia="宋体" w:cs="Times New Roman"/>
          <w:szCs w:val="20"/>
          <w:highlight w:val="none"/>
        </w:rPr>
        <w:fldChar w:fldCharType="separate"/>
      </w:r>
      <w:r>
        <w:rPr>
          <w:rFonts w:hint="default" w:ascii="Times New Roman" w:hAnsi="Times New Roman" w:eastAsia="宋体" w:cs="Times New Roman"/>
          <w:highlight w:val="none"/>
        </w:rPr>
        <w:t>1.6 其他补充事宜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_Toc2323 \h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r>
        <w:rPr>
          <w:rFonts w:hint="default" w:ascii="Times New Roman" w:hAnsi="Times New Roman" w:eastAsia="宋体" w:cs="Times New Roman"/>
          <w:color w:val="auto"/>
          <w:szCs w:val="20"/>
          <w:highlight w:val="none"/>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color w:val="auto"/>
          <w:szCs w:val="20"/>
          <w:highlight w:val="none"/>
        </w:rPr>
        <w:fldChar w:fldCharType="begin"/>
      </w:r>
      <w:r>
        <w:rPr>
          <w:rFonts w:hint="default" w:ascii="Times New Roman" w:hAnsi="Times New Roman" w:eastAsia="宋体" w:cs="Times New Roman"/>
          <w:szCs w:val="20"/>
          <w:highlight w:val="none"/>
        </w:rPr>
        <w:instrText xml:space="preserve"> HYPERLINK \l _Toc30748 </w:instrText>
      </w:r>
      <w:r>
        <w:rPr>
          <w:rFonts w:hint="default" w:ascii="Times New Roman" w:hAnsi="Times New Roman" w:eastAsia="宋体" w:cs="Times New Roman"/>
          <w:szCs w:val="20"/>
          <w:highlight w:val="none"/>
        </w:rPr>
        <w:fldChar w:fldCharType="separate"/>
      </w:r>
      <w:r>
        <w:rPr>
          <w:rFonts w:hint="default" w:ascii="Times New Roman" w:hAnsi="Times New Roman" w:eastAsia="宋体" w:cs="Times New Roman"/>
          <w:highlight w:val="none"/>
        </w:rPr>
        <w:t>1.7 磋商保证金</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_Toc30748 \h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r>
        <w:rPr>
          <w:rFonts w:hint="default" w:ascii="Times New Roman" w:hAnsi="Times New Roman" w:eastAsia="宋体" w:cs="Times New Roman"/>
          <w:color w:val="auto"/>
          <w:szCs w:val="20"/>
          <w:highlight w:val="none"/>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color w:val="auto"/>
          <w:szCs w:val="20"/>
          <w:highlight w:val="none"/>
        </w:rPr>
        <w:fldChar w:fldCharType="begin"/>
      </w:r>
      <w:r>
        <w:rPr>
          <w:rFonts w:hint="default" w:ascii="Times New Roman" w:hAnsi="Times New Roman" w:eastAsia="宋体" w:cs="Times New Roman"/>
          <w:szCs w:val="20"/>
          <w:highlight w:val="none"/>
        </w:rPr>
        <w:instrText xml:space="preserve"> HYPERLINK \l _Toc32235 </w:instrText>
      </w:r>
      <w:r>
        <w:rPr>
          <w:rFonts w:hint="default" w:ascii="Times New Roman" w:hAnsi="Times New Roman" w:eastAsia="宋体" w:cs="Times New Roman"/>
          <w:szCs w:val="20"/>
          <w:highlight w:val="none"/>
        </w:rPr>
        <w:fldChar w:fldCharType="separate"/>
      </w:r>
      <w:r>
        <w:rPr>
          <w:rFonts w:hint="default" w:ascii="Times New Roman" w:hAnsi="Times New Roman" w:eastAsia="宋体" w:cs="Times New Roman"/>
          <w:highlight w:val="none"/>
        </w:rPr>
        <w:t>1.8疫情防控要求</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_Toc32235 \h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r>
        <w:rPr>
          <w:rFonts w:hint="default" w:ascii="Times New Roman" w:hAnsi="Times New Roman" w:eastAsia="宋体" w:cs="Times New Roman"/>
          <w:color w:val="auto"/>
          <w:szCs w:val="20"/>
          <w:highlight w:val="none"/>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color w:val="auto"/>
          <w:szCs w:val="20"/>
          <w:highlight w:val="none"/>
        </w:rPr>
        <w:fldChar w:fldCharType="begin"/>
      </w:r>
      <w:r>
        <w:rPr>
          <w:rFonts w:hint="default" w:ascii="Times New Roman" w:hAnsi="Times New Roman" w:eastAsia="宋体" w:cs="Times New Roman"/>
          <w:szCs w:val="20"/>
          <w:highlight w:val="none"/>
        </w:rPr>
        <w:instrText xml:space="preserve"> HYPERLINK \l _Toc6445 </w:instrText>
      </w:r>
      <w:r>
        <w:rPr>
          <w:rFonts w:hint="default" w:ascii="Times New Roman" w:hAnsi="Times New Roman" w:eastAsia="宋体" w:cs="Times New Roman"/>
          <w:szCs w:val="20"/>
          <w:highlight w:val="none"/>
        </w:rPr>
        <w:fldChar w:fldCharType="separate"/>
      </w:r>
      <w:r>
        <w:rPr>
          <w:rFonts w:hint="default" w:ascii="Times New Roman" w:hAnsi="Times New Roman" w:eastAsia="宋体" w:cs="Times New Roman"/>
          <w:highlight w:val="none"/>
        </w:rPr>
        <w:t>1.9联系方式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_Toc6445 \h </w:instrText>
      </w:r>
      <w:r>
        <w:rPr>
          <w:rFonts w:hint="default" w:ascii="Times New Roman" w:hAnsi="Times New Roman" w:cs="Times New Roman"/>
        </w:rPr>
        <w:fldChar w:fldCharType="separate"/>
      </w:r>
      <w:r>
        <w:rPr>
          <w:rFonts w:hint="default" w:ascii="Times New Roman" w:hAnsi="Times New Roman" w:cs="Times New Roman"/>
        </w:rPr>
        <w:t>4</w:t>
      </w:r>
      <w:r>
        <w:rPr>
          <w:rFonts w:hint="default" w:ascii="Times New Roman" w:hAnsi="Times New Roman" w:cs="Times New Roman"/>
        </w:rPr>
        <w:fldChar w:fldCharType="end"/>
      </w:r>
      <w:r>
        <w:rPr>
          <w:rFonts w:hint="default" w:ascii="Times New Roman" w:hAnsi="Times New Roman" w:eastAsia="宋体" w:cs="Times New Roman"/>
          <w:color w:val="auto"/>
          <w:szCs w:val="20"/>
          <w:highlight w:val="none"/>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color w:val="auto"/>
          <w:szCs w:val="20"/>
          <w:highlight w:val="none"/>
        </w:rPr>
        <w:fldChar w:fldCharType="begin"/>
      </w:r>
      <w:r>
        <w:rPr>
          <w:rFonts w:hint="default" w:ascii="Times New Roman" w:hAnsi="Times New Roman" w:eastAsia="宋体" w:cs="Times New Roman"/>
          <w:szCs w:val="20"/>
          <w:highlight w:val="none"/>
        </w:rPr>
        <w:instrText xml:space="preserve"> HYPERLINK \l _Toc4357 </w:instrText>
      </w:r>
      <w:r>
        <w:rPr>
          <w:rFonts w:hint="default" w:ascii="Times New Roman" w:hAnsi="Times New Roman" w:eastAsia="宋体" w:cs="Times New Roman"/>
          <w:szCs w:val="20"/>
          <w:highlight w:val="none"/>
        </w:rPr>
        <w:fldChar w:fldCharType="separate"/>
      </w:r>
      <w:r>
        <w:rPr>
          <w:rFonts w:hint="default" w:ascii="Times New Roman" w:hAnsi="Times New Roman" w:eastAsia="宋体" w:cs="Times New Roman"/>
          <w:highlight w:val="none"/>
        </w:rPr>
        <w:t>第二章   供应商须知</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_Toc4357 \h </w:instrText>
      </w:r>
      <w:r>
        <w:rPr>
          <w:rFonts w:hint="default" w:ascii="Times New Roman" w:hAnsi="Times New Roman" w:cs="Times New Roman"/>
        </w:rPr>
        <w:fldChar w:fldCharType="separate"/>
      </w:r>
      <w:r>
        <w:rPr>
          <w:rFonts w:hint="default" w:ascii="Times New Roman" w:hAnsi="Times New Roman" w:cs="Times New Roman"/>
        </w:rPr>
        <w:t>5</w:t>
      </w:r>
      <w:r>
        <w:rPr>
          <w:rFonts w:hint="default" w:ascii="Times New Roman" w:hAnsi="Times New Roman" w:cs="Times New Roman"/>
        </w:rPr>
        <w:fldChar w:fldCharType="end"/>
      </w:r>
      <w:r>
        <w:rPr>
          <w:rFonts w:hint="default" w:ascii="Times New Roman" w:hAnsi="Times New Roman" w:eastAsia="宋体" w:cs="Times New Roman"/>
          <w:color w:val="auto"/>
          <w:szCs w:val="20"/>
          <w:highlight w:val="none"/>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color w:val="auto"/>
          <w:szCs w:val="20"/>
          <w:highlight w:val="none"/>
        </w:rPr>
        <w:fldChar w:fldCharType="begin"/>
      </w:r>
      <w:r>
        <w:rPr>
          <w:rFonts w:hint="default" w:ascii="Times New Roman" w:hAnsi="Times New Roman" w:eastAsia="宋体" w:cs="Times New Roman"/>
          <w:szCs w:val="20"/>
          <w:highlight w:val="none"/>
        </w:rPr>
        <w:instrText xml:space="preserve"> HYPERLINK \l _Toc7567 </w:instrText>
      </w:r>
      <w:r>
        <w:rPr>
          <w:rFonts w:hint="default" w:ascii="Times New Roman" w:hAnsi="Times New Roman" w:eastAsia="宋体" w:cs="Times New Roman"/>
          <w:szCs w:val="20"/>
          <w:highlight w:val="none"/>
        </w:rPr>
        <w:fldChar w:fldCharType="separate"/>
      </w:r>
      <w:r>
        <w:rPr>
          <w:rFonts w:hint="default" w:ascii="Times New Roman" w:hAnsi="Times New Roman" w:eastAsia="宋体" w:cs="Times New Roman"/>
          <w:highlight w:val="none"/>
        </w:rPr>
        <w:t>2.1 总则</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_Toc7567 \h </w:instrText>
      </w:r>
      <w:r>
        <w:rPr>
          <w:rFonts w:hint="default" w:ascii="Times New Roman" w:hAnsi="Times New Roman" w:cs="Times New Roman"/>
        </w:rPr>
        <w:fldChar w:fldCharType="separate"/>
      </w:r>
      <w:r>
        <w:rPr>
          <w:rFonts w:hint="default" w:ascii="Times New Roman" w:hAnsi="Times New Roman" w:cs="Times New Roman"/>
        </w:rPr>
        <w:t>7</w:t>
      </w:r>
      <w:r>
        <w:rPr>
          <w:rFonts w:hint="default" w:ascii="Times New Roman" w:hAnsi="Times New Roman" w:cs="Times New Roman"/>
        </w:rPr>
        <w:fldChar w:fldCharType="end"/>
      </w:r>
      <w:r>
        <w:rPr>
          <w:rFonts w:hint="default" w:ascii="Times New Roman" w:hAnsi="Times New Roman" w:eastAsia="宋体" w:cs="Times New Roman"/>
          <w:color w:val="auto"/>
          <w:szCs w:val="20"/>
          <w:highlight w:val="none"/>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color w:val="auto"/>
          <w:szCs w:val="20"/>
          <w:highlight w:val="none"/>
        </w:rPr>
        <w:fldChar w:fldCharType="begin"/>
      </w:r>
      <w:r>
        <w:rPr>
          <w:rFonts w:hint="default" w:ascii="Times New Roman" w:hAnsi="Times New Roman" w:eastAsia="宋体" w:cs="Times New Roman"/>
          <w:szCs w:val="20"/>
          <w:highlight w:val="none"/>
        </w:rPr>
        <w:instrText xml:space="preserve"> HYPERLINK \l _Toc26861 </w:instrText>
      </w:r>
      <w:r>
        <w:rPr>
          <w:rFonts w:hint="default" w:ascii="Times New Roman" w:hAnsi="Times New Roman" w:eastAsia="宋体" w:cs="Times New Roman"/>
          <w:szCs w:val="20"/>
          <w:highlight w:val="none"/>
        </w:rPr>
        <w:fldChar w:fldCharType="separate"/>
      </w:r>
      <w:r>
        <w:rPr>
          <w:rFonts w:hint="default" w:ascii="Times New Roman" w:hAnsi="Times New Roman" w:eastAsia="宋体" w:cs="Times New Roman"/>
          <w:highlight w:val="none"/>
        </w:rPr>
        <w:t>2.2 磋商文件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_Toc26861 \h </w:instrText>
      </w:r>
      <w:r>
        <w:rPr>
          <w:rFonts w:hint="default" w:ascii="Times New Roman" w:hAnsi="Times New Roman" w:cs="Times New Roman"/>
        </w:rPr>
        <w:fldChar w:fldCharType="separate"/>
      </w:r>
      <w:r>
        <w:rPr>
          <w:rFonts w:hint="default" w:ascii="Times New Roman" w:hAnsi="Times New Roman" w:cs="Times New Roman"/>
        </w:rPr>
        <w:t>9</w:t>
      </w:r>
      <w:r>
        <w:rPr>
          <w:rFonts w:hint="default" w:ascii="Times New Roman" w:hAnsi="Times New Roman" w:cs="Times New Roman"/>
        </w:rPr>
        <w:fldChar w:fldCharType="end"/>
      </w:r>
      <w:r>
        <w:rPr>
          <w:rFonts w:hint="default" w:ascii="Times New Roman" w:hAnsi="Times New Roman" w:eastAsia="宋体" w:cs="Times New Roman"/>
          <w:color w:val="auto"/>
          <w:szCs w:val="20"/>
          <w:highlight w:val="none"/>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color w:val="auto"/>
          <w:szCs w:val="20"/>
          <w:highlight w:val="none"/>
        </w:rPr>
        <w:fldChar w:fldCharType="begin"/>
      </w:r>
      <w:r>
        <w:rPr>
          <w:rFonts w:hint="default" w:ascii="Times New Roman" w:hAnsi="Times New Roman" w:eastAsia="宋体" w:cs="Times New Roman"/>
          <w:szCs w:val="20"/>
          <w:highlight w:val="none"/>
        </w:rPr>
        <w:instrText xml:space="preserve"> HYPERLINK \l _Toc3154 </w:instrText>
      </w:r>
      <w:r>
        <w:rPr>
          <w:rFonts w:hint="default" w:ascii="Times New Roman" w:hAnsi="Times New Roman" w:eastAsia="宋体" w:cs="Times New Roman"/>
          <w:szCs w:val="20"/>
          <w:highlight w:val="none"/>
        </w:rPr>
        <w:fldChar w:fldCharType="separate"/>
      </w:r>
      <w:r>
        <w:rPr>
          <w:rFonts w:hint="default" w:ascii="Times New Roman" w:hAnsi="Times New Roman" w:eastAsia="宋体" w:cs="Times New Roman"/>
          <w:highlight w:val="none"/>
        </w:rPr>
        <w:t>2.3 磋商响应文件的提交</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_Toc3154 \h </w:instrText>
      </w:r>
      <w:r>
        <w:rPr>
          <w:rFonts w:hint="default" w:ascii="Times New Roman" w:hAnsi="Times New Roman" w:cs="Times New Roman"/>
        </w:rPr>
        <w:fldChar w:fldCharType="separate"/>
      </w:r>
      <w:r>
        <w:rPr>
          <w:rFonts w:hint="default" w:ascii="Times New Roman" w:hAnsi="Times New Roman" w:cs="Times New Roman"/>
        </w:rPr>
        <w:t>12</w:t>
      </w:r>
      <w:r>
        <w:rPr>
          <w:rFonts w:hint="default" w:ascii="Times New Roman" w:hAnsi="Times New Roman" w:cs="Times New Roman"/>
        </w:rPr>
        <w:fldChar w:fldCharType="end"/>
      </w:r>
      <w:r>
        <w:rPr>
          <w:rFonts w:hint="default" w:ascii="Times New Roman" w:hAnsi="Times New Roman" w:eastAsia="宋体" w:cs="Times New Roman"/>
          <w:color w:val="auto"/>
          <w:szCs w:val="20"/>
          <w:highlight w:val="none"/>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color w:val="auto"/>
          <w:szCs w:val="20"/>
          <w:highlight w:val="none"/>
        </w:rPr>
        <w:fldChar w:fldCharType="begin"/>
      </w:r>
      <w:r>
        <w:rPr>
          <w:rFonts w:hint="default" w:ascii="Times New Roman" w:hAnsi="Times New Roman" w:eastAsia="宋体" w:cs="Times New Roman"/>
          <w:szCs w:val="20"/>
          <w:highlight w:val="none"/>
        </w:rPr>
        <w:instrText xml:space="preserve"> HYPERLINK \l _Toc18520 </w:instrText>
      </w:r>
      <w:r>
        <w:rPr>
          <w:rFonts w:hint="default" w:ascii="Times New Roman" w:hAnsi="Times New Roman" w:eastAsia="宋体" w:cs="Times New Roman"/>
          <w:szCs w:val="20"/>
          <w:highlight w:val="none"/>
        </w:rPr>
        <w:fldChar w:fldCharType="separate"/>
      </w:r>
      <w:r>
        <w:rPr>
          <w:rFonts w:hint="default" w:ascii="Times New Roman" w:hAnsi="Times New Roman" w:eastAsia="宋体" w:cs="Times New Roman"/>
          <w:highlight w:val="none"/>
        </w:rPr>
        <w:t>2.4 磋商</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_Toc18520 \h </w:instrText>
      </w:r>
      <w:r>
        <w:rPr>
          <w:rFonts w:hint="default" w:ascii="Times New Roman" w:hAnsi="Times New Roman" w:cs="Times New Roman"/>
        </w:rPr>
        <w:fldChar w:fldCharType="separate"/>
      </w:r>
      <w:r>
        <w:rPr>
          <w:rFonts w:hint="default" w:ascii="Times New Roman" w:hAnsi="Times New Roman" w:cs="Times New Roman"/>
        </w:rPr>
        <w:t>12</w:t>
      </w:r>
      <w:r>
        <w:rPr>
          <w:rFonts w:hint="default" w:ascii="Times New Roman" w:hAnsi="Times New Roman" w:cs="Times New Roman"/>
        </w:rPr>
        <w:fldChar w:fldCharType="end"/>
      </w:r>
      <w:r>
        <w:rPr>
          <w:rFonts w:hint="default" w:ascii="Times New Roman" w:hAnsi="Times New Roman" w:eastAsia="宋体" w:cs="Times New Roman"/>
          <w:color w:val="auto"/>
          <w:szCs w:val="20"/>
          <w:highlight w:val="none"/>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color w:val="auto"/>
          <w:szCs w:val="20"/>
          <w:highlight w:val="none"/>
        </w:rPr>
        <w:fldChar w:fldCharType="begin"/>
      </w:r>
      <w:r>
        <w:rPr>
          <w:rFonts w:hint="default" w:ascii="Times New Roman" w:hAnsi="Times New Roman" w:eastAsia="宋体" w:cs="Times New Roman"/>
          <w:szCs w:val="20"/>
          <w:highlight w:val="none"/>
        </w:rPr>
        <w:instrText xml:space="preserve"> HYPERLINK \l _Toc15762 </w:instrText>
      </w:r>
      <w:r>
        <w:rPr>
          <w:rFonts w:hint="default" w:ascii="Times New Roman" w:hAnsi="Times New Roman" w:eastAsia="宋体" w:cs="Times New Roman"/>
          <w:szCs w:val="20"/>
          <w:highlight w:val="none"/>
        </w:rPr>
        <w:fldChar w:fldCharType="separate"/>
      </w:r>
      <w:r>
        <w:rPr>
          <w:rFonts w:hint="default" w:ascii="Times New Roman" w:hAnsi="Times New Roman" w:eastAsia="宋体" w:cs="Times New Roman"/>
          <w:highlight w:val="none"/>
        </w:rPr>
        <w:t>2.5 成交结果</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_Toc15762 \h </w:instrText>
      </w:r>
      <w:r>
        <w:rPr>
          <w:rFonts w:hint="default" w:ascii="Times New Roman" w:hAnsi="Times New Roman" w:cs="Times New Roman"/>
        </w:rPr>
        <w:fldChar w:fldCharType="separate"/>
      </w:r>
      <w:r>
        <w:rPr>
          <w:rFonts w:hint="default" w:ascii="Times New Roman" w:hAnsi="Times New Roman" w:cs="Times New Roman"/>
        </w:rPr>
        <w:t>13</w:t>
      </w:r>
      <w:r>
        <w:rPr>
          <w:rFonts w:hint="default" w:ascii="Times New Roman" w:hAnsi="Times New Roman" w:cs="Times New Roman"/>
        </w:rPr>
        <w:fldChar w:fldCharType="end"/>
      </w:r>
      <w:r>
        <w:rPr>
          <w:rFonts w:hint="default" w:ascii="Times New Roman" w:hAnsi="Times New Roman" w:eastAsia="宋体" w:cs="Times New Roman"/>
          <w:color w:val="auto"/>
          <w:szCs w:val="20"/>
          <w:highlight w:val="none"/>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color w:val="auto"/>
          <w:szCs w:val="20"/>
          <w:highlight w:val="none"/>
        </w:rPr>
        <w:fldChar w:fldCharType="begin"/>
      </w:r>
      <w:r>
        <w:rPr>
          <w:rFonts w:hint="default" w:ascii="Times New Roman" w:hAnsi="Times New Roman" w:eastAsia="宋体" w:cs="Times New Roman"/>
          <w:szCs w:val="20"/>
          <w:highlight w:val="none"/>
        </w:rPr>
        <w:instrText xml:space="preserve"> HYPERLINK \l _Toc20013 </w:instrText>
      </w:r>
      <w:r>
        <w:rPr>
          <w:rFonts w:hint="default" w:ascii="Times New Roman" w:hAnsi="Times New Roman" w:eastAsia="宋体" w:cs="Times New Roman"/>
          <w:szCs w:val="20"/>
          <w:highlight w:val="none"/>
        </w:rPr>
        <w:fldChar w:fldCharType="separate"/>
      </w:r>
      <w:r>
        <w:rPr>
          <w:rFonts w:hint="default" w:ascii="Times New Roman" w:hAnsi="Times New Roman" w:eastAsia="宋体" w:cs="Times New Roman"/>
          <w:highlight w:val="none"/>
        </w:rPr>
        <w:t>2.6 其他事项</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_Toc20013 \h </w:instrText>
      </w:r>
      <w:r>
        <w:rPr>
          <w:rFonts w:hint="default" w:ascii="Times New Roman" w:hAnsi="Times New Roman" w:cs="Times New Roman"/>
        </w:rPr>
        <w:fldChar w:fldCharType="separate"/>
      </w:r>
      <w:r>
        <w:rPr>
          <w:rFonts w:hint="default" w:ascii="Times New Roman" w:hAnsi="Times New Roman" w:cs="Times New Roman"/>
        </w:rPr>
        <w:t>14</w:t>
      </w:r>
      <w:r>
        <w:rPr>
          <w:rFonts w:hint="default" w:ascii="Times New Roman" w:hAnsi="Times New Roman" w:cs="Times New Roman"/>
        </w:rPr>
        <w:fldChar w:fldCharType="end"/>
      </w:r>
      <w:r>
        <w:rPr>
          <w:rFonts w:hint="default" w:ascii="Times New Roman" w:hAnsi="Times New Roman" w:eastAsia="宋体" w:cs="Times New Roman"/>
          <w:color w:val="auto"/>
          <w:szCs w:val="20"/>
          <w:highlight w:val="none"/>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color w:val="auto"/>
          <w:szCs w:val="20"/>
          <w:highlight w:val="none"/>
        </w:rPr>
        <w:fldChar w:fldCharType="begin"/>
      </w:r>
      <w:r>
        <w:rPr>
          <w:rFonts w:hint="default" w:ascii="Times New Roman" w:hAnsi="Times New Roman" w:eastAsia="宋体" w:cs="Times New Roman"/>
          <w:szCs w:val="20"/>
          <w:highlight w:val="none"/>
        </w:rPr>
        <w:instrText xml:space="preserve"> HYPERLINK \l _Toc18165 </w:instrText>
      </w:r>
      <w:r>
        <w:rPr>
          <w:rFonts w:hint="default" w:ascii="Times New Roman" w:hAnsi="Times New Roman" w:eastAsia="宋体" w:cs="Times New Roman"/>
          <w:szCs w:val="20"/>
          <w:highlight w:val="none"/>
        </w:rPr>
        <w:fldChar w:fldCharType="separate"/>
      </w:r>
      <w:r>
        <w:rPr>
          <w:rFonts w:hint="default" w:ascii="Times New Roman" w:hAnsi="Times New Roman" w:cs="Times New Roman"/>
        </w:rPr>
        <w:t xml:space="preserve">第三章 </w:t>
      </w:r>
      <w:r>
        <w:rPr>
          <w:rFonts w:hint="default" w:ascii="Times New Roman" w:hAnsi="Times New Roman" w:cs="Times New Roman"/>
          <w:highlight w:val="none"/>
        </w:rPr>
        <w:t>合同书样式及主要条款</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_Toc18165 \h </w:instrText>
      </w:r>
      <w:r>
        <w:rPr>
          <w:rFonts w:hint="default" w:ascii="Times New Roman" w:hAnsi="Times New Roman" w:cs="Times New Roman"/>
        </w:rPr>
        <w:fldChar w:fldCharType="separate"/>
      </w:r>
      <w:r>
        <w:rPr>
          <w:rFonts w:hint="default" w:ascii="Times New Roman" w:hAnsi="Times New Roman" w:cs="Times New Roman"/>
        </w:rPr>
        <w:t>15</w:t>
      </w:r>
      <w:r>
        <w:rPr>
          <w:rFonts w:hint="default" w:ascii="Times New Roman" w:hAnsi="Times New Roman" w:cs="Times New Roman"/>
        </w:rPr>
        <w:fldChar w:fldCharType="end"/>
      </w:r>
      <w:r>
        <w:rPr>
          <w:rFonts w:hint="default" w:ascii="Times New Roman" w:hAnsi="Times New Roman" w:eastAsia="宋体" w:cs="Times New Roman"/>
          <w:color w:val="auto"/>
          <w:szCs w:val="20"/>
          <w:highlight w:val="none"/>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color w:val="auto"/>
          <w:szCs w:val="20"/>
          <w:highlight w:val="none"/>
        </w:rPr>
        <w:fldChar w:fldCharType="begin"/>
      </w:r>
      <w:r>
        <w:rPr>
          <w:rFonts w:hint="default" w:ascii="Times New Roman" w:hAnsi="Times New Roman" w:eastAsia="宋体" w:cs="Times New Roman"/>
          <w:szCs w:val="20"/>
          <w:highlight w:val="none"/>
        </w:rPr>
        <w:instrText xml:space="preserve"> HYPERLINK \l _Toc10886 </w:instrText>
      </w:r>
      <w:r>
        <w:rPr>
          <w:rFonts w:hint="default" w:ascii="Times New Roman" w:hAnsi="Times New Roman" w:eastAsia="宋体" w:cs="Times New Roman"/>
          <w:szCs w:val="20"/>
          <w:highlight w:val="none"/>
        </w:rPr>
        <w:fldChar w:fldCharType="separate"/>
      </w:r>
      <w:r>
        <w:rPr>
          <w:rFonts w:hint="default" w:ascii="Times New Roman" w:hAnsi="Times New Roman" w:cs="Times New Roman"/>
          <w:highlight w:val="none"/>
        </w:rPr>
        <w:t>第四章  磋商响应文件格式</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_Toc10886 \h </w:instrText>
      </w:r>
      <w:r>
        <w:rPr>
          <w:rFonts w:hint="default" w:ascii="Times New Roman" w:hAnsi="Times New Roman" w:cs="Times New Roman"/>
        </w:rPr>
        <w:fldChar w:fldCharType="separate"/>
      </w:r>
      <w:r>
        <w:rPr>
          <w:rFonts w:hint="default" w:ascii="Times New Roman" w:hAnsi="Times New Roman" w:cs="Times New Roman"/>
        </w:rPr>
        <w:t>19</w:t>
      </w:r>
      <w:r>
        <w:rPr>
          <w:rFonts w:hint="default" w:ascii="Times New Roman" w:hAnsi="Times New Roman" w:cs="Times New Roman"/>
        </w:rPr>
        <w:fldChar w:fldCharType="end"/>
      </w:r>
      <w:r>
        <w:rPr>
          <w:rFonts w:hint="default" w:ascii="Times New Roman" w:hAnsi="Times New Roman" w:eastAsia="宋体" w:cs="Times New Roman"/>
          <w:color w:val="auto"/>
          <w:szCs w:val="20"/>
          <w:highlight w:val="none"/>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color w:val="auto"/>
          <w:szCs w:val="20"/>
          <w:highlight w:val="none"/>
        </w:rPr>
        <w:fldChar w:fldCharType="begin"/>
      </w:r>
      <w:r>
        <w:rPr>
          <w:rFonts w:hint="default" w:ascii="Times New Roman" w:hAnsi="Times New Roman" w:eastAsia="宋体" w:cs="Times New Roman"/>
          <w:szCs w:val="20"/>
          <w:highlight w:val="none"/>
        </w:rPr>
        <w:instrText xml:space="preserve"> HYPERLINK \l _Toc27912 </w:instrText>
      </w:r>
      <w:r>
        <w:rPr>
          <w:rFonts w:hint="default" w:ascii="Times New Roman" w:hAnsi="Times New Roman" w:eastAsia="宋体" w:cs="Times New Roman"/>
          <w:szCs w:val="20"/>
          <w:highlight w:val="none"/>
        </w:rPr>
        <w:fldChar w:fldCharType="separate"/>
      </w:r>
      <w:r>
        <w:rPr>
          <w:rFonts w:hint="default" w:ascii="Times New Roman" w:hAnsi="Times New Roman" w:eastAsia="宋体" w:cs="Times New Roman"/>
          <w:highlight w:val="none"/>
        </w:rPr>
        <w:t>4.1 响 应 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_Toc27912 \h </w:instrText>
      </w:r>
      <w:r>
        <w:rPr>
          <w:rFonts w:hint="default" w:ascii="Times New Roman" w:hAnsi="Times New Roman" w:cs="Times New Roman"/>
        </w:rPr>
        <w:fldChar w:fldCharType="separate"/>
      </w:r>
      <w:r>
        <w:rPr>
          <w:rFonts w:hint="default" w:ascii="Times New Roman" w:hAnsi="Times New Roman" w:cs="Times New Roman"/>
        </w:rPr>
        <w:t>20</w:t>
      </w:r>
      <w:r>
        <w:rPr>
          <w:rFonts w:hint="default" w:ascii="Times New Roman" w:hAnsi="Times New Roman" w:cs="Times New Roman"/>
        </w:rPr>
        <w:fldChar w:fldCharType="end"/>
      </w:r>
      <w:r>
        <w:rPr>
          <w:rFonts w:hint="default" w:ascii="Times New Roman" w:hAnsi="Times New Roman" w:eastAsia="宋体" w:cs="Times New Roman"/>
          <w:color w:val="auto"/>
          <w:szCs w:val="20"/>
          <w:highlight w:val="none"/>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color w:val="auto"/>
          <w:szCs w:val="20"/>
          <w:highlight w:val="none"/>
        </w:rPr>
        <w:fldChar w:fldCharType="begin"/>
      </w:r>
      <w:r>
        <w:rPr>
          <w:rFonts w:hint="default" w:ascii="Times New Roman" w:hAnsi="Times New Roman" w:eastAsia="宋体" w:cs="Times New Roman"/>
          <w:szCs w:val="20"/>
          <w:highlight w:val="none"/>
        </w:rPr>
        <w:instrText xml:space="preserve"> HYPERLINK \l _Toc6417 </w:instrText>
      </w:r>
      <w:r>
        <w:rPr>
          <w:rFonts w:hint="default" w:ascii="Times New Roman" w:hAnsi="Times New Roman" w:eastAsia="宋体" w:cs="Times New Roman"/>
          <w:szCs w:val="20"/>
          <w:highlight w:val="none"/>
        </w:rPr>
        <w:fldChar w:fldCharType="separate"/>
      </w:r>
      <w:r>
        <w:rPr>
          <w:rFonts w:hint="default" w:ascii="Times New Roman" w:hAnsi="Times New Roman" w:eastAsia="宋体" w:cs="Times New Roman"/>
          <w:highlight w:val="none"/>
        </w:rPr>
        <w:t>4.2 报价一览表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_Toc6417 \h </w:instrText>
      </w:r>
      <w:r>
        <w:rPr>
          <w:rFonts w:hint="default" w:ascii="Times New Roman" w:hAnsi="Times New Roman" w:cs="Times New Roman"/>
        </w:rPr>
        <w:fldChar w:fldCharType="separate"/>
      </w:r>
      <w:r>
        <w:rPr>
          <w:rFonts w:hint="default" w:ascii="Times New Roman" w:hAnsi="Times New Roman" w:cs="Times New Roman"/>
        </w:rPr>
        <w:t>21</w:t>
      </w:r>
      <w:r>
        <w:rPr>
          <w:rFonts w:hint="default" w:ascii="Times New Roman" w:hAnsi="Times New Roman" w:cs="Times New Roman"/>
        </w:rPr>
        <w:fldChar w:fldCharType="end"/>
      </w:r>
      <w:r>
        <w:rPr>
          <w:rFonts w:hint="default" w:ascii="Times New Roman" w:hAnsi="Times New Roman" w:eastAsia="宋体" w:cs="Times New Roman"/>
          <w:color w:val="auto"/>
          <w:szCs w:val="20"/>
          <w:highlight w:val="none"/>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color w:val="auto"/>
          <w:szCs w:val="20"/>
          <w:highlight w:val="none"/>
        </w:rPr>
        <w:fldChar w:fldCharType="begin"/>
      </w:r>
      <w:r>
        <w:rPr>
          <w:rFonts w:hint="default" w:ascii="Times New Roman" w:hAnsi="Times New Roman" w:eastAsia="宋体" w:cs="Times New Roman"/>
          <w:szCs w:val="20"/>
          <w:highlight w:val="none"/>
        </w:rPr>
        <w:instrText xml:space="preserve"> HYPERLINK \l _Toc18612 </w:instrText>
      </w:r>
      <w:r>
        <w:rPr>
          <w:rFonts w:hint="default" w:ascii="Times New Roman" w:hAnsi="Times New Roman" w:eastAsia="宋体" w:cs="Times New Roman"/>
          <w:szCs w:val="20"/>
          <w:highlight w:val="none"/>
        </w:rPr>
        <w:fldChar w:fldCharType="separate"/>
      </w:r>
      <w:r>
        <w:rPr>
          <w:rFonts w:hint="default" w:ascii="Times New Roman" w:hAnsi="Times New Roman" w:cs="Times New Roman"/>
          <w:highlight w:val="none"/>
        </w:rPr>
        <w:t>4.3 法定代表人资格证明书</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_Toc18612 \h </w:instrText>
      </w:r>
      <w:r>
        <w:rPr>
          <w:rFonts w:hint="default" w:ascii="Times New Roman" w:hAnsi="Times New Roman" w:cs="Times New Roman"/>
        </w:rPr>
        <w:fldChar w:fldCharType="separate"/>
      </w:r>
      <w:r>
        <w:rPr>
          <w:rFonts w:hint="default" w:ascii="Times New Roman" w:hAnsi="Times New Roman" w:cs="Times New Roman"/>
        </w:rPr>
        <w:t>22</w:t>
      </w:r>
      <w:r>
        <w:rPr>
          <w:rFonts w:hint="default" w:ascii="Times New Roman" w:hAnsi="Times New Roman" w:cs="Times New Roman"/>
        </w:rPr>
        <w:fldChar w:fldCharType="end"/>
      </w:r>
      <w:r>
        <w:rPr>
          <w:rFonts w:hint="default" w:ascii="Times New Roman" w:hAnsi="Times New Roman" w:eastAsia="宋体" w:cs="Times New Roman"/>
          <w:color w:val="auto"/>
          <w:szCs w:val="20"/>
          <w:highlight w:val="none"/>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color w:val="auto"/>
          <w:szCs w:val="20"/>
          <w:highlight w:val="none"/>
        </w:rPr>
        <w:fldChar w:fldCharType="begin"/>
      </w:r>
      <w:r>
        <w:rPr>
          <w:rFonts w:hint="default" w:ascii="Times New Roman" w:hAnsi="Times New Roman" w:eastAsia="宋体" w:cs="Times New Roman"/>
          <w:szCs w:val="20"/>
          <w:highlight w:val="none"/>
        </w:rPr>
        <w:instrText xml:space="preserve"> HYPERLINK \l _Toc13125 </w:instrText>
      </w:r>
      <w:r>
        <w:rPr>
          <w:rFonts w:hint="default" w:ascii="Times New Roman" w:hAnsi="Times New Roman" w:eastAsia="宋体" w:cs="Times New Roman"/>
          <w:szCs w:val="20"/>
          <w:highlight w:val="none"/>
        </w:rPr>
        <w:fldChar w:fldCharType="separate"/>
      </w:r>
      <w:r>
        <w:rPr>
          <w:rFonts w:hint="default" w:ascii="Times New Roman" w:hAnsi="Times New Roman" w:cs="Times New Roman"/>
          <w:highlight w:val="none"/>
        </w:rPr>
        <w:t>4.4 法定代表人授权委托书</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_Toc13125 \h </w:instrText>
      </w:r>
      <w:r>
        <w:rPr>
          <w:rFonts w:hint="default" w:ascii="Times New Roman" w:hAnsi="Times New Roman" w:cs="Times New Roman"/>
        </w:rPr>
        <w:fldChar w:fldCharType="separate"/>
      </w:r>
      <w:r>
        <w:rPr>
          <w:rFonts w:hint="default" w:ascii="Times New Roman" w:hAnsi="Times New Roman" w:cs="Times New Roman"/>
        </w:rPr>
        <w:t>23</w:t>
      </w:r>
      <w:r>
        <w:rPr>
          <w:rFonts w:hint="default" w:ascii="Times New Roman" w:hAnsi="Times New Roman" w:cs="Times New Roman"/>
        </w:rPr>
        <w:fldChar w:fldCharType="end"/>
      </w:r>
      <w:r>
        <w:rPr>
          <w:rFonts w:hint="default" w:ascii="Times New Roman" w:hAnsi="Times New Roman" w:eastAsia="宋体" w:cs="Times New Roman"/>
          <w:color w:val="auto"/>
          <w:szCs w:val="20"/>
          <w:highlight w:val="none"/>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color w:val="auto"/>
          <w:szCs w:val="20"/>
          <w:highlight w:val="none"/>
        </w:rPr>
        <w:fldChar w:fldCharType="begin"/>
      </w:r>
      <w:r>
        <w:rPr>
          <w:rFonts w:hint="default" w:ascii="Times New Roman" w:hAnsi="Times New Roman" w:eastAsia="宋体" w:cs="Times New Roman"/>
          <w:szCs w:val="20"/>
          <w:highlight w:val="none"/>
        </w:rPr>
        <w:instrText xml:space="preserve"> HYPERLINK \l _Toc2330 </w:instrText>
      </w:r>
      <w:r>
        <w:rPr>
          <w:rFonts w:hint="default" w:ascii="Times New Roman" w:hAnsi="Times New Roman" w:eastAsia="宋体" w:cs="Times New Roman"/>
          <w:szCs w:val="20"/>
          <w:highlight w:val="none"/>
        </w:rPr>
        <w:fldChar w:fldCharType="separate"/>
      </w:r>
      <w:r>
        <w:rPr>
          <w:rFonts w:hint="default" w:ascii="Times New Roman" w:hAnsi="Times New Roman" w:eastAsia="宋体" w:cs="Times New Roman"/>
          <w:highlight w:val="none"/>
        </w:rPr>
        <w:t xml:space="preserve">4.5 </w:t>
      </w:r>
      <w:r>
        <w:rPr>
          <w:rFonts w:hint="default" w:ascii="Times New Roman" w:hAnsi="Times New Roman" w:cs="Times New Roman"/>
          <w:highlight w:val="none"/>
        </w:rPr>
        <w:t>资格证明文件</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_Toc2330 \h </w:instrText>
      </w:r>
      <w:r>
        <w:rPr>
          <w:rFonts w:hint="default" w:ascii="Times New Roman" w:hAnsi="Times New Roman" w:cs="Times New Roman"/>
        </w:rPr>
        <w:fldChar w:fldCharType="separate"/>
      </w:r>
      <w:r>
        <w:rPr>
          <w:rFonts w:hint="default" w:ascii="Times New Roman" w:hAnsi="Times New Roman" w:cs="Times New Roman"/>
        </w:rPr>
        <w:t>24</w:t>
      </w:r>
      <w:r>
        <w:rPr>
          <w:rFonts w:hint="default" w:ascii="Times New Roman" w:hAnsi="Times New Roman" w:cs="Times New Roman"/>
        </w:rPr>
        <w:fldChar w:fldCharType="end"/>
      </w:r>
      <w:r>
        <w:rPr>
          <w:rFonts w:hint="default" w:ascii="Times New Roman" w:hAnsi="Times New Roman" w:eastAsia="宋体" w:cs="Times New Roman"/>
          <w:color w:val="auto"/>
          <w:szCs w:val="20"/>
          <w:highlight w:val="none"/>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color w:val="auto"/>
          <w:szCs w:val="20"/>
          <w:highlight w:val="none"/>
        </w:rPr>
        <w:fldChar w:fldCharType="begin"/>
      </w:r>
      <w:r>
        <w:rPr>
          <w:rFonts w:hint="default" w:ascii="Times New Roman" w:hAnsi="Times New Roman" w:eastAsia="宋体" w:cs="Times New Roman"/>
          <w:szCs w:val="20"/>
          <w:highlight w:val="none"/>
        </w:rPr>
        <w:instrText xml:space="preserve"> HYPERLINK \l _Toc305 </w:instrText>
      </w:r>
      <w:r>
        <w:rPr>
          <w:rFonts w:hint="default" w:ascii="Times New Roman" w:hAnsi="Times New Roman" w:eastAsia="宋体" w:cs="Times New Roman"/>
          <w:szCs w:val="20"/>
          <w:highlight w:val="none"/>
        </w:rPr>
        <w:fldChar w:fldCharType="separate"/>
      </w:r>
      <w:r>
        <w:rPr>
          <w:rFonts w:hint="default" w:ascii="Times New Roman" w:hAnsi="Times New Roman" w:cs="Times New Roman"/>
          <w:highlight w:val="none"/>
        </w:rPr>
        <w:t xml:space="preserve">4.6 </w:t>
      </w:r>
      <w:r>
        <w:rPr>
          <w:rFonts w:hint="default" w:ascii="Times New Roman" w:hAnsi="Times New Roman" w:eastAsia="宋体" w:cs="Times New Roman"/>
          <w:highlight w:val="none"/>
        </w:rPr>
        <w:t>实施方案</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_Toc305 \h </w:instrText>
      </w:r>
      <w:r>
        <w:rPr>
          <w:rFonts w:hint="default" w:ascii="Times New Roman" w:hAnsi="Times New Roman" w:cs="Times New Roman"/>
        </w:rPr>
        <w:fldChar w:fldCharType="separate"/>
      </w:r>
      <w:r>
        <w:rPr>
          <w:rFonts w:hint="default" w:ascii="Times New Roman" w:hAnsi="Times New Roman" w:cs="Times New Roman"/>
        </w:rPr>
        <w:t>25</w:t>
      </w:r>
      <w:r>
        <w:rPr>
          <w:rFonts w:hint="default" w:ascii="Times New Roman" w:hAnsi="Times New Roman" w:cs="Times New Roman"/>
        </w:rPr>
        <w:fldChar w:fldCharType="end"/>
      </w:r>
      <w:r>
        <w:rPr>
          <w:rFonts w:hint="default" w:ascii="Times New Roman" w:hAnsi="Times New Roman" w:eastAsia="宋体" w:cs="Times New Roman"/>
          <w:color w:val="auto"/>
          <w:szCs w:val="20"/>
          <w:highlight w:val="none"/>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color w:val="auto"/>
          <w:szCs w:val="20"/>
          <w:highlight w:val="none"/>
        </w:rPr>
        <w:fldChar w:fldCharType="begin"/>
      </w:r>
      <w:r>
        <w:rPr>
          <w:rFonts w:hint="default" w:ascii="Times New Roman" w:hAnsi="Times New Roman" w:eastAsia="宋体" w:cs="Times New Roman"/>
          <w:szCs w:val="20"/>
          <w:highlight w:val="none"/>
        </w:rPr>
        <w:instrText xml:space="preserve"> HYPERLINK \l _Toc15771 </w:instrText>
      </w:r>
      <w:r>
        <w:rPr>
          <w:rFonts w:hint="default" w:ascii="Times New Roman" w:hAnsi="Times New Roman" w:eastAsia="宋体" w:cs="Times New Roman"/>
          <w:szCs w:val="20"/>
          <w:highlight w:val="none"/>
        </w:rPr>
        <w:fldChar w:fldCharType="separate"/>
      </w:r>
      <w:r>
        <w:rPr>
          <w:rFonts w:hint="default" w:ascii="Times New Roman" w:hAnsi="Times New Roman" w:eastAsia="宋体" w:cs="Times New Roman"/>
          <w:highlight w:val="none"/>
        </w:rPr>
        <w:t>4.7质量保证、服务承诺书</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_Toc15771 \h </w:instrText>
      </w:r>
      <w:r>
        <w:rPr>
          <w:rFonts w:hint="default" w:ascii="Times New Roman" w:hAnsi="Times New Roman" w:cs="Times New Roman"/>
        </w:rPr>
        <w:fldChar w:fldCharType="separate"/>
      </w:r>
      <w:r>
        <w:rPr>
          <w:rFonts w:hint="default" w:ascii="Times New Roman" w:hAnsi="Times New Roman" w:cs="Times New Roman"/>
        </w:rPr>
        <w:t>26</w:t>
      </w:r>
      <w:r>
        <w:rPr>
          <w:rFonts w:hint="default" w:ascii="Times New Roman" w:hAnsi="Times New Roman" w:cs="Times New Roman"/>
        </w:rPr>
        <w:fldChar w:fldCharType="end"/>
      </w:r>
      <w:r>
        <w:rPr>
          <w:rFonts w:hint="default" w:ascii="Times New Roman" w:hAnsi="Times New Roman" w:eastAsia="宋体" w:cs="Times New Roman"/>
          <w:color w:val="auto"/>
          <w:szCs w:val="20"/>
          <w:highlight w:val="none"/>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color w:val="auto"/>
          <w:szCs w:val="20"/>
          <w:highlight w:val="none"/>
        </w:rPr>
        <w:fldChar w:fldCharType="begin"/>
      </w:r>
      <w:r>
        <w:rPr>
          <w:rFonts w:hint="default" w:ascii="Times New Roman" w:hAnsi="Times New Roman" w:eastAsia="宋体" w:cs="Times New Roman"/>
          <w:szCs w:val="20"/>
          <w:highlight w:val="none"/>
        </w:rPr>
        <w:instrText xml:space="preserve"> HYPERLINK \l _Toc9728 </w:instrText>
      </w:r>
      <w:r>
        <w:rPr>
          <w:rFonts w:hint="default" w:ascii="Times New Roman" w:hAnsi="Times New Roman" w:eastAsia="宋体" w:cs="Times New Roman"/>
          <w:szCs w:val="20"/>
          <w:highlight w:val="none"/>
        </w:rPr>
        <w:fldChar w:fldCharType="separate"/>
      </w:r>
      <w:r>
        <w:rPr>
          <w:rFonts w:hint="default" w:ascii="Times New Roman" w:hAnsi="Times New Roman" w:cs="Times New Roman"/>
          <w:highlight w:val="none"/>
        </w:rPr>
        <w:t>4.8 实施案例</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_Toc9728 \h </w:instrText>
      </w:r>
      <w:r>
        <w:rPr>
          <w:rFonts w:hint="default" w:ascii="Times New Roman" w:hAnsi="Times New Roman" w:cs="Times New Roman"/>
        </w:rPr>
        <w:fldChar w:fldCharType="separate"/>
      </w:r>
      <w:r>
        <w:rPr>
          <w:rFonts w:hint="default" w:ascii="Times New Roman" w:hAnsi="Times New Roman" w:cs="Times New Roman"/>
        </w:rPr>
        <w:t>27</w:t>
      </w:r>
      <w:r>
        <w:rPr>
          <w:rFonts w:hint="default" w:ascii="Times New Roman" w:hAnsi="Times New Roman" w:cs="Times New Roman"/>
        </w:rPr>
        <w:fldChar w:fldCharType="end"/>
      </w:r>
      <w:r>
        <w:rPr>
          <w:rFonts w:hint="default" w:ascii="Times New Roman" w:hAnsi="Times New Roman" w:eastAsia="宋体" w:cs="Times New Roman"/>
          <w:color w:val="auto"/>
          <w:szCs w:val="20"/>
          <w:highlight w:val="none"/>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color w:val="auto"/>
          <w:szCs w:val="20"/>
          <w:highlight w:val="none"/>
        </w:rPr>
        <w:fldChar w:fldCharType="begin"/>
      </w:r>
      <w:r>
        <w:rPr>
          <w:rFonts w:hint="default" w:ascii="Times New Roman" w:hAnsi="Times New Roman" w:eastAsia="宋体" w:cs="Times New Roman"/>
          <w:szCs w:val="20"/>
          <w:highlight w:val="none"/>
        </w:rPr>
        <w:instrText xml:space="preserve"> HYPERLINK \l _Toc12504 </w:instrText>
      </w:r>
      <w:r>
        <w:rPr>
          <w:rFonts w:hint="default" w:ascii="Times New Roman" w:hAnsi="Times New Roman" w:eastAsia="宋体" w:cs="Times New Roman"/>
          <w:szCs w:val="20"/>
          <w:highlight w:val="none"/>
        </w:rPr>
        <w:fldChar w:fldCharType="separate"/>
      </w:r>
      <w:r>
        <w:rPr>
          <w:rFonts w:hint="default" w:ascii="Times New Roman" w:hAnsi="Times New Roman" w:cs="Times New Roman" w:eastAsiaTheme="minorEastAsia"/>
          <w:szCs w:val="32"/>
          <w:highlight w:val="none"/>
        </w:rPr>
        <w:t xml:space="preserve">4.9 </w:t>
      </w:r>
      <w:r>
        <w:rPr>
          <w:rFonts w:hint="default" w:ascii="Times New Roman" w:hAnsi="Times New Roman" w:cs="Times New Roman"/>
          <w:szCs w:val="32"/>
          <w:highlight w:val="none"/>
        </w:rPr>
        <w:t xml:space="preserve"> </w:t>
      </w:r>
      <w:r>
        <w:rPr>
          <w:rFonts w:hint="default" w:ascii="Times New Roman" w:hAnsi="Times New Roman" w:cs="Times New Roman" w:eastAsiaTheme="minorEastAsia"/>
          <w:szCs w:val="32"/>
          <w:highlight w:val="none"/>
        </w:rPr>
        <w:t>项目人员情况表</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_Toc12504 \h </w:instrText>
      </w:r>
      <w:r>
        <w:rPr>
          <w:rFonts w:hint="default" w:ascii="Times New Roman" w:hAnsi="Times New Roman" w:cs="Times New Roman"/>
        </w:rPr>
        <w:fldChar w:fldCharType="separate"/>
      </w:r>
      <w:r>
        <w:rPr>
          <w:rFonts w:hint="default" w:ascii="Times New Roman" w:hAnsi="Times New Roman" w:cs="Times New Roman"/>
        </w:rPr>
        <w:t>28</w:t>
      </w:r>
      <w:r>
        <w:rPr>
          <w:rFonts w:hint="default" w:ascii="Times New Roman" w:hAnsi="Times New Roman" w:cs="Times New Roman"/>
        </w:rPr>
        <w:fldChar w:fldCharType="end"/>
      </w:r>
      <w:r>
        <w:rPr>
          <w:rFonts w:hint="default" w:ascii="Times New Roman" w:hAnsi="Times New Roman" w:eastAsia="宋体" w:cs="Times New Roman"/>
          <w:color w:val="auto"/>
          <w:szCs w:val="20"/>
          <w:highlight w:val="none"/>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color w:val="auto"/>
          <w:szCs w:val="20"/>
          <w:highlight w:val="none"/>
        </w:rPr>
        <w:fldChar w:fldCharType="begin"/>
      </w:r>
      <w:r>
        <w:rPr>
          <w:rFonts w:hint="default" w:ascii="Times New Roman" w:hAnsi="Times New Roman" w:eastAsia="宋体" w:cs="Times New Roman"/>
          <w:szCs w:val="20"/>
          <w:highlight w:val="none"/>
        </w:rPr>
        <w:instrText xml:space="preserve"> HYPERLINK \l _Toc11622 </w:instrText>
      </w:r>
      <w:r>
        <w:rPr>
          <w:rFonts w:hint="default" w:ascii="Times New Roman" w:hAnsi="Times New Roman" w:eastAsia="宋体" w:cs="Times New Roman"/>
          <w:szCs w:val="20"/>
          <w:highlight w:val="none"/>
        </w:rPr>
        <w:fldChar w:fldCharType="separate"/>
      </w:r>
      <w:r>
        <w:rPr>
          <w:rFonts w:hint="default" w:ascii="Times New Roman" w:hAnsi="Times New Roman" w:eastAsia="宋体" w:cs="Times New Roman"/>
          <w:highlight w:val="none"/>
        </w:rPr>
        <w:t>4.10</w:t>
      </w:r>
      <w:r>
        <w:rPr>
          <w:rFonts w:hint="default" w:ascii="Times New Roman" w:hAnsi="Times New Roman" w:eastAsia="宋体" w:cs="Times New Roman"/>
          <w:szCs w:val="32"/>
          <w:highlight w:val="none"/>
        </w:rPr>
        <w:t>构成响应文件的其他资料</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_Toc11622 \h </w:instrText>
      </w:r>
      <w:r>
        <w:rPr>
          <w:rFonts w:hint="default" w:ascii="Times New Roman" w:hAnsi="Times New Roman" w:cs="Times New Roman"/>
        </w:rPr>
        <w:fldChar w:fldCharType="separate"/>
      </w:r>
      <w:r>
        <w:rPr>
          <w:rFonts w:hint="default" w:ascii="Times New Roman" w:hAnsi="Times New Roman" w:cs="Times New Roman"/>
        </w:rPr>
        <w:t>30</w:t>
      </w:r>
      <w:r>
        <w:rPr>
          <w:rFonts w:hint="default" w:ascii="Times New Roman" w:hAnsi="Times New Roman" w:cs="Times New Roman"/>
        </w:rPr>
        <w:fldChar w:fldCharType="end"/>
      </w:r>
      <w:r>
        <w:rPr>
          <w:rFonts w:hint="default" w:ascii="Times New Roman" w:hAnsi="Times New Roman" w:eastAsia="宋体" w:cs="Times New Roman"/>
          <w:color w:val="auto"/>
          <w:szCs w:val="20"/>
          <w:highlight w:val="none"/>
        </w:rPr>
        <w:fldChar w:fldCharType="end"/>
      </w:r>
    </w:p>
    <w:p>
      <w:pPr>
        <w:pStyle w:val="16"/>
        <w:tabs>
          <w:tab w:val="right" w:leader="dot" w:pos="9355"/>
        </w:tabs>
        <w:rPr>
          <w:rFonts w:hint="default" w:ascii="Times New Roman" w:hAnsi="Times New Roman" w:cs="Times New Roman"/>
        </w:rPr>
      </w:pPr>
      <w:r>
        <w:rPr>
          <w:rFonts w:hint="default" w:ascii="Times New Roman" w:hAnsi="Times New Roman" w:eastAsia="宋体" w:cs="Times New Roman"/>
          <w:color w:val="auto"/>
          <w:szCs w:val="20"/>
          <w:highlight w:val="none"/>
        </w:rPr>
        <w:fldChar w:fldCharType="begin"/>
      </w:r>
      <w:r>
        <w:rPr>
          <w:rFonts w:hint="default" w:ascii="Times New Roman" w:hAnsi="Times New Roman" w:eastAsia="宋体" w:cs="Times New Roman"/>
          <w:szCs w:val="20"/>
          <w:highlight w:val="none"/>
        </w:rPr>
        <w:instrText xml:space="preserve"> HYPERLINK \l _Toc25834 </w:instrText>
      </w:r>
      <w:r>
        <w:rPr>
          <w:rFonts w:hint="default" w:ascii="Times New Roman" w:hAnsi="Times New Roman" w:eastAsia="宋体" w:cs="Times New Roman"/>
          <w:szCs w:val="20"/>
          <w:highlight w:val="none"/>
        </w:rPr>
        <w:fldChar w:fldCharType="separate"/>
      </w:r>
      <w:r>
        <w:rPr>
          <w:rFonts w:hint="default" w:ascii="Times New Roman" w:hAnsi="Times New Roman" w:eastAsia="宋体" w:cs="Times New Roman"/>
          <w:highlight w:val="none"/>
        </w:rPr>
        <w:t>4.11 中小企业声明函</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_Toc25834 \h </w:instrText>
      </w:r>
      <w:r>
        <w:rPr>
          <w:rFonts w:hint="default" w:ascii="Times New Roman" w:hAnsi="Times New Roman" w:cs="Times New Roman"/>
        </w:rPr>
        <w:fldChar w:fldCharType="separate"/>
      </w:r>
      <w:r>
        <w:rPr>
          <w:rFonts w:hint="default" w:ascii="Times New Roman" w:hAnsi="Times New Roman" w:cs="Times New Roman"/>
        </w:rPr>
        <w:t>31</w:t>
      </w:r>
      <w:r>
        <w:rPr>
          <w:rFonts w:hint="default" w:ascii="Times New Roman" w:hAnsi="Times New Roman" w:cs="Times New Roman"/>
        </w:rPr>
        <w:fldChar w:fldCharType="end"/>
      </w:r>
      <w:r>
        <w:rPr>
          <w:rFonts w:hint="default" w:ascii="Times New Roman" w:hAnsi="Times New Roman" w:eastAsia="宋体" w:cs="Times New Roman"/>
          <w:color w:val="auto"/>
          <w:szCs w:val="20"/>
          <w:highlight w:val="none"/>
        </w:rPr>
        <w:fldChar w:fldCharType="end"/>
      </w:r>
    </w:p>
    <w:p>
      <w:pPr>
        <w:pStyle w:val="15"/>
        <w:tabs>
          <w:tab w:val="right" w:leader="dot" w:pos="9355"/>
        </w:tabs>
        <w:rPr>
          <w:rFonts w:hint="default" w:ascii="Times New Roman" w:hAnsi="Times New Roman" w:cs="Times New Roman"/>
        </w:rPr>
      </w:pPr>
      <w:r>
        <w:rPr>
          <w:rFonts w:hint="default" w:ascii="Times New Roman" w:hAnsi="Times New Roman" w:eastAsia="宋体" w:cs="Times New Roman"/>
          <w:color w:val="auto"/>
          <w:szCs w:val="20"/>
          <w:highlight w:val="none"/>
        </w:rPr>
        <w:fldChar w:fldCharType="begin"/>
      </w:r>
      <w:r>
        <w:rPr>
          <w:rFonts w:hint="default" w:ascii="Times New Roman" w:hAnsi="Times New Roman" w:eastAsia="宋体" w:cs="Times New Roman"/>
          <w:szCs w:val="20"/>
          <w:highlight w:val="none"/>
        </w:rPr>
        <w:instrText xml:space="preserve"> HYPERLINK \l _Toc27015 </w:instrText>
      </w:r>
      <w:r>
        <w:rPr>
          <w:rFonts w:hint="default" w:ascii="Times New Roman" w:hAnsi="Times New Roman" w:eastAsia="宋体" w:cs="Times New Roman"/>
          <w:szCs w:val="20"/>
          <w:highlight w:val="none"/>
        </w:rPr>
        <w:fldChar w:fldCharType="separate"/>
      </w:r>
      <w:r>
        <w:rPr>
          <w:rFonts w:hint="default" w:ascii="Times New Roman" w:hAnsi="Times New Roman" w:cs="Times New Roman"/>
          <w:highlight w:val="none"/>
        </w:rPr>
        <w:t>第五章 采购需求</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_Toc27015 \h </w:instrText>
      </w:r>
      <w:r>
        <w:rPr>
          <w:rFonts w:hint="default" w:ascii="Times New Roman" w:hAnsi="Times New Roman" w:cs="Times New Roman"/>
        </w:rPr>
        <w:fldChar w:fldCharType="separate"/>
      </w:r>
      <w:r>
        <w:rPr>
          <w:rFonts w:hint="default" w:ascii="Times New Roman" w:hAnsi="Times New Roman" w:cs="Times New Roman"/>
        </w:rPr>
        <w:t>34</w:t>
      </w:r>
      <w:r>
        <w:rPr>
          <w:rFonts w:hint="default" w:ascii="Times New Roman" w:hAnsi="Times New Roman" w:cs="Times New Roman"/>
        </w:rPr>
        <w:fldChar w:fldCharType="end"/>
      </w:r>
      <w:r>
        <w:rPr>
          <w:rFonts w:hint="default" w:ascii="Times New Roman" w:hAnsi="Times New Roman" w:eastAsia="宋体" w:cs="Times New Roman"/>
          <w:color w:val="auto"/>
          <w:szCs w:val="20"/>
          <w:highlight w:val="none"/>
        </w:rPr>
        <w:fldChar w:fldCharType="end"/>
      </w:r>
    </w:p>
    <w:p>
      <w:pPr>
        <w:pStyle w:val="15"/>
        <w:tabs>
          <w:tab w:val="right" w:leader="dot" w:pos="9355"/>
        </w:tabs>
      </w:pPr>
      <w:r>
        <w:rPr>
          <w:rFonts w:hint="default" w:ascii="Times New Roman" w:hAnsi="Times New Roman" w:eastAsia="宋体" w:cs="Times New Roman"/>
          <w:color w:val="auto"/>
          <w:szCs w:val="20"/>
          <w:highlight w:val="none"/>
        </w:rPr>
        <w:fldChar w:fldCharType="begin"/>
      </w:r>
      <w:r>
        <w:rPr>
          <w:rFonts w:hint="default" w:ascii="Times New Roman" w:hAnsi="Times New Roman" w:eastAsia="宋体" w:cs="Times New Roman"/>
          <w:szCs w:val="20"/>
          <w:highlight w:val="none"/>
        </w:rPr>
        <w:instrText xml:space="preserve"> HYPERLINK \l _Toc547 </w:instrText>
      </w:r>
      <w:r>
        <w:rPr>
          <w:rFonts w:hint="default" w:ascii="Times New Roman" w:hAnsi="Times New Roman" w:eastAsia="宋体" w:cs="Times New Roman"/>
          <w:szCs w:val="20"/>
          <w:highlight w:val="none"/>
        </w:rPr>
        <w:fldChar w:fldCharType="separate"/>
      </w:r>
      <w:r>
        <w:rPr>
          <w:rFonts w:hint="default" w:ascii="Times New Roman" w:hAnsi="Times New Roman" w:eastAsia="宋体" w:cs="Times New Roman"/>
          <w:bCs/>
          <w:kern w:val="44"/>
          <w:szCs w:val="32"/>
          <w:highlight w:val="none"/>
        </w:rPr>
        <w:t>第六章  磋商程序及方法</w:t>
      </w:r>
      <w:r>
        <w:rPr>
          <w:rFonts w:hint="default" w:ascii="Times New Roman" w:hAnsi="Times New Roman" w:cs="Times New Roman"/>
        </w:rPr>
        <w:tab/>
      </w:r>
      <w:r>
        <w:rPr>
          <w:rFonts w:hint="default" w:ascii="Times New Roman" w:hAnsi="Times New Roman" w:cs="Times New Roman"/>
        </w:rPr>
        <w:fldChar w:fldCharType="begin"/>
      </w:r>
      <w:r>
        <w:rPr>
          <w:rFonts w:hint="default" w:ascii="Times New Roman" w:hAnsi="Times New Roman" w:cs="Times New Roman"/>
        </w:rPr>
        <w:instrText xml:space="preserve"> PAGEREF _Toc547 \h </w:instrText>
      </w:r>
      <w:r>
        <w:rPr>
          <w:rFonts w:hint="default" w:ascii="Times New Roman" w:hAnsi="Times New Roman" w:cs="Times New Roman"/>
        </w:rPr>
        <w:fldChar w:fldCharType="separate"/>
      </w:r>
      <w:r>
        <w:rPr>
          <w:rFonts w:hint="default" w:ascii="Times New Roman" w:hAnsi="Times New Roman" w:cs="Times New Roman"/>
        </w:rPr>
        <w:t>36</w:t>
      </w:r>
      <w:r>
        <w:rPr>
          <w:rFonts w:hint="default" w:ascii="Times New Roman" w:hAnsi="Times New Roman" w:cs="Times New Roman"/>
        </w:rPr>
        <w:fldChar w:fldCharType="end"/>
      </w:r>
      <w:r>
        <w:rPr>
          <w:rFonts w:hint="default" w:ascii="Times New Roman" w:hAnsi="Times New Roman" w:eastAsia="宋体" w:cs="Times New Roman"/>
          <w:color w:val="auto"/>
          <w:szCs w:val="20"/>
          <w:highlight w:val="none"/>
        </w:rPr>
        <w:fldChar w:fldCharType="end"/>
      </w:r>
    </w:p>
    <w:p>
      <w:pPr>
        <w:spacing w:line="360" w:lineRule="auto"/>
        <w:jc w:val="center"/>
        <w:rPr>
          <w:rFonts w:ascii="宋体" w:hAnsi="宋体" w:eastAsia="宋体" w:cs="宋体"/>
          <w:b/>
          <w:bCs/>
          <w:color w:val="auto"/>
          <w:sz w:val="32"/>
          <w:szCs w:val="32"/>
          <w:highlight w:val="none"/>
        </w:rPr>
        <w:sectPr>
          <w:pgSz w:w="11906" w:h="16838"/>
          <w:pgMar w:top="1418" w:right="1134" w:bottom="1134" w:left="1417" w:header="779" w:footer="720" w:gutter="0"/>
          <w:pgNumType w:start="1"/>
          <w:cols w:space="720" w:num="1"/>
          <w:titlePg/>
          <w:docGrid w:linePitch="331" w:charSpace="0"/>
        </w:sectPr>
      </w:pPr>
      <w:r>
        <w:rPr>
          <w:rFonts w:ascii="Times New Roman" w:hAnsi="Times New Roman" w:eastAsia="宋体" w:cs="Times New Roman"/>
          <w:color w:val="auto"/>
          <w:szCs w:val="20"/>
          <w:highlight w:val="none"/>
        </w:rPr>
        <w:fldChar w:fldCharType="end"/>
      </w:r>
    </w:p>
    <w:p>
      <w:pPr>
        <w:pStyle w:val="3"/>
        <w:jc w:val="center"/>
        <w:rPr>
          <w:rFonts w:ascii="宋体" w:hAnsi="宋体" w:eastAsia="宋体" w:cs="宋体"/>
          <w:color w:val="auto"/>
          <w:highlight w:val="none"/>
        </w:rPr>
      </w:pPr>
      <w:bookmarkStart w:id="0" w:name="_Toc60996674"/>
      <w:bookmarkStart w:id="1" w:name="_第一章__招标公告"/>
      <w:bookmarkStart w:id="2" w:name="_Toc20587_WPSOffice_Level1"/>
      <w:bookmarkStart w:id="3" w:name="_Toc12098"/>
      <w:r>
        <w:rPr>
          <w:rFonts w:ascii="Times New Roman" w:hAnsi="Times New Roman" w:cs="Times New Roman"/>
          <w:color w:val="auto"/>
          <w:highlight w:val="none"/>
        </w:rPr>
        <w:t>第一章   竞争性</w:t>
      </w:r>
      <w:r>
        <w:rPr>
          <w:rFonts w:hint="eastAsia" w:ascii="Times New Roman" w:hAnsi="Times New Roman" w:cs="Times New Roman"/>
          <w:color w:val="auto"/>
          <w:highlight w:val="none"/>
        </w:rPr>
        <w:t>磋商</w:t>
      </w:r>
      <w:r>
        <w:rPr>
          <w:rFonts w:ascii="Times New Roman" w:hAnsi="Times New Roman" w:cs="Times New Roman"/>
          <w:color w:val="auto"/>
          <w:highlight w:val="none"/>
        </w:rPr>
        <w:t>公告</w:t>
      </w:r>
      <w:bookmarkEnd w:id="0"/>
      <w:bookmarkEnd w:id="1"/>
      <w:bookmarkEnd w:id="2"/>
      <w:bookmarkEnd w:id="3"/>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致各竞争性磋商申请人：</w:t>
      </w:r>
    </w:p>
    <w:p>
      <w:pPr>
        <w:spacing w:line="360" w:lineRule="auto"/>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为保证采购人食堂餐具清洁、安全并统一管理，楚雄医药高等专科学校受采购人</w:t>
      </w:r>
      <w:r>
        <w:rPr>
          <w:rFonts w:hint="eastAsia" w:ascii="Times New Roman" w:hAnsi="Times New Roman" w:eastAsia="宋体" w:cs="Times New Roman"/>
          <w:color w:val="auto"/>
          <w:sz w:val="24"/>
          <w:highlight w:val="none"/>
          <w:lang w:eastAsia="zh-CN"/>
        </w:rPr>
        <w:t>（楚雄医药高等专科学校各食堂餐饮管理服务机构及委托经营人）</w:t>
      </w:r>
      <w:r>
        <w:rPr>
          <w:rFonts w:hint="eastAsia" w:ascii="Times New Roman" w:hAnsi="Times New Roman" w:eastAsia="宋体" w:cs="Times New Roman"/>
          <w:color w:val="auto"/>
          <w:sz w:val="24"/>
          <w:highlight w:val="none"/>
        </w:rPr>
        <w:t>委托，</w:t>
      </w:r>
      <w:r>
        <w:rPr>
          <w:rFonts w:ascii="Times New Roman" w:hAnsi="Times New Roman" w:eastAsia="宋体" w:cs="Times New Roman"/>
          <w:color w:val="auto"/>
          <w:sz w:val="24"/>
          <w:highlight w:val="none"/>
        </w:rPr>
        <w:t>根据《中华人民共和国政府采购法》、《中华人民共和国政府采购法实施条例》、《政府采购竞争性磋商采购方式管理暂行办法》等政府采购有关规定，</w:t>
      </w:r>
      <w:r>
        <w:rPr>
          <w:rFonts w:hint="eastAsia" w:ascii="Times New Roman" w:hAnsi="Times New Roman" w:eastAsia="宋体" w:cs="Times New Roman"/>
          <w:color w:val="auto"/>
          <w:sz w:val="24"/>
          <w:highlight w:val="none"/>
        </w:rPr>
        <w:t>本项目采取竞争性磋商的方式进行采购</w:t>
      </w:r>
      <w:r>
        <w:rPr>
          <w:rFonts w:ascii="Times New Roman" w:hAnsi="Times New Roman" w:eastAsia="宋体" w:cs="Times New Roman"/>
          <w:color w:val="auto"/>
          <w:sz w:val="24"/>
          <w:highlight w:val="none"/>
        </w:rPr>
        <w:t>。</w:t>
      </w:r>
      <w:r>
        <w:rPr>
          <w:rFonts w:hint="eastAsia" w:ascii="Times New Roman" w:hAnsi="Times New Roman" w:eastAsia="宋体" w:cs="Times New Roman"/>
          <w:color w:val="auto"/>
          <w:sz w:val="24"/>
          <w:highlight w:val="none"/>
        </w:rPr>
        <w:t>欢迎</w:t>
      </w:r>
      <w:r>
        <w:rPr>
          <w:rFonts w:ascii="Times New Roman" w:hAnsi="Times New Roman" w:eastAsia="宋体" w:cs="Times New Roman"/>
          <w:color w:val="auto"/>
          <w:sz w:val="24"/>
          <w:highlight w:val="none"/>
        </w:rPr>
        <w:t>具有相应资格及具有完成本项目能力的</w:t>
      </w:r>
      <w:r>
        <w:rPr>
          <w:rFonts w:hint="eastAsia" w:ascii="Times New Roman" w:hAnsi="Times New Roman" w:eastAsia="宋体" w:cs="Times New Roman"/>
          <w:color w:val="auto"/>
          <w:sz w:val="24"/>
          <w:highlight w:val="none"/>
        </w:rPr>
        <w:t>潜在</w:t>
      </w:r>
      <w:r>
        <w:rPr>
          <w:rFonts w:ascii="Times New Roman" w:hAnsi="Times New Roman" w:eastAsia="宋体" w:cs="Times New Roman"/>
          <w:color w:val="auto"/>
          <w:sz w:val="24"/>
          <w:highlight w:val="none"/>
        </w:rPr>
        <w:t>供应商参加。</w:t>
      </w:r>
    </w:p>
    <w:p>
      <w:pPr>
        <w:pStyle w:val="4"/>
        <w:rPr>
          <w:rFonts w:ascii="宋体" w:hAnsi="宋体" w:eastAsia="宋体" w:cs="宋体"/>
          <w:color w:val="auto"/>
          <w:szCs w:val="28"/>
          <w:highlight w:val="none"/>
        </w:rPr>
      </w:pPr>
      <w:bookmarkStart w:id="4" w:name="_Toc35393790"/>
      <w:bookmarkStart w:id="5" w:name="_Toc28359079"/>
      <w:bookmarkStart w:id="6" w:name="_Toc28359002"/>
      <w:bookmarkStart w:id="7" w:name="_Toc35393621"/>
      <w:bookmarkStart w:id="8" w:name="_Toc44621995"/>
      <w:bookmarkStart w:id="9" w:name="_Toc29731_WPSOffice_Level2"/>
      <w:bookmarkStart w:id="10" w:name="_Toc11582"/>
      <w:bookmarkStart w:id="11" w:name="_Hlk24379207"/>
      <w:r>
        <w:rPr>
          <w:rFonts w:ascii="Times New Roman" w:hAnsi="Times New Roman" w:eastAsia="宋体" w:cs="Times New Roman"/>
          <w:color w:val="auto"/>
          <w:highlight w:val="none"/>
        </w:rPr>
        <w:t>1.1 项目基本情况</w:t>
      </w:r>
      <w:bookmarkEnd w:id="4"/>
      <w:bookmarkEnd w:id="5"/>
      <w:bookmarkEnd w:id="6"/>
      <w:bookmarkEnd w:id="7"/>
      <w:bookmarkEnd w:id="8"/>
      <w:bookmarkEnd w:id="9"/>
      <w:bookmarkEnd w:id="10"/>
    </w:p>
    <w:p>
      <w:pPr>
        <w:spacing w:line="460" w:lineRule="exact"/>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1、项目编号：</w:t>
      </w:r>
      <w:r>
        <w:rPr>
          <w:rFonts w:hint="eastAsia" w:ascii="Times New Roman" w:hAnsi="Times New Roman" w:eastAsia="宋体" w:cs="Times New Roman"/>
          <w:color w:val="auto"/>
          <w:sz w:val="24"/>
          <w:highlight w:val="none"/>
        </w:rPr>
        <w:t>CXYZC【2023】第</w:t>
      </w:r>
      <w:r>
        <w:rPr>
          <w:rFonts w:hint="eastAsia" w:ascii="Times New Roman" w:hAnsi="Times New Roman" w:eastAsia="宋体" w:cs="Times New Roman"/>
          <w:color w:val="auto"/>
          <w:sz w:val="24"/>
          <w:highlight w:val="none"/>
          <w:lang w:val="en-US" w:eastAsia="zh-CN"/>
        </w:rPr>
        <w:t>1</w:t>
      </w:r>
      <w:r>
        <w:rPr>
          <w:rFonts w:hint="eastAsia" w:ascii="Times New Roman" w:hAnsi="Times New Roman" w:eastAsia="宋体" w:cs="Times New Roman"/>
          <w:color w:val="auto"/>
          <w:sz w:val="24"/>
          <w:highlight w:val="none"/>
        </w:rPr>
        <w:t>号</w:t>
      </w:r>
    </w:p>
    <w:p>
      <w:pPr>
        <w:spacing w:line="460" w:lineRule="exact"/>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2、项目名称：</w:t>
      </w:r>
      <w:r>
        <w:rPr>
          <w:rFonts w:hint="eastAsia" w:ascii="Times New Roman" w:hAnsi="Times New Roman" w:eastAsia="宋体" w:cs="Times New Roman"/>
          <w:color w:val="auto"/>
          <w:sz w:val="24"/>
          <w:highlight w:val="none"/>
        </w:rPr>
        <w:t>楚雄医药高等专科学校食堂餐具洗消间服务采购项目</w:t>
      </w:r>
    </w:p>
    <w:p>
      <w:pPr>
        <w:spacing w:line="460" w:lineRule="exact"/>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3、</w:t>
      </w:r>
      <w:r>
        <w:rPr>
          <w:rFonts w:ascii="Times New Roman" w:hAnsi="Times New Roman" w:eastAsia="宋体" w:cs="Times New Roman"/>
          <w:color w:val="auto"/>
          <w:sz w:val="24"/>
          <w:highlight w:val="none"/>
        </w:rPr>
        <w:t>采购方式：竞争性</w:t>
      </w:r>
      <w:r>
        <w:rPr>
          <w:rFonts w:hint="eastAsia" w:ascii="Times New Roman" w:hAnsi="Times New Roman" w:eastAsia="宋体" w:cs="Times New Roman"/>
          <w:color w:val="auto"/>
          <w:sz w:val="24"/>
          <w:highlight w:val="none"/>
        </w:rPr>
        <w:t>磋商</w:t>
      </w:r>
    </w:p>
    <w:bookmarkEnd w:id="11"/>
    <w:p>
      <w:pPr>
        <w:spacing w:line="460" w:lineRule="exact"/>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4、</w:t>
      </w:r>
      <w:r>
        <w:rPr>
          <w:rFonts w:ascii="Times New Roman" w:hAnsi="Times New Roman" w:eastAsia="宋体" w:cs="Times New Roman"/>
          <w:color w:val="auto"/>
          <w:sz w:val="24"/>
          <w:highlight w:val="none"/>
        </w:rPr>
        <w:t>预算金额：</w:t>
      </w:r>
      <w:r>
        <w:rPr>
          <w:rFonts w:hint="eastAsia" w:ascii="Times New Roman" w:hAnsi="Times New Roman" w:eastAsia="宋体" w:cs="Times New Roman"/>
          <w:color w:val="auto"/>
          <w:sz w:val="24"/>
          <w:highlight w:val="none"/>
        </w:rPr>
        <w:t>4</w:t>
      </w:r>
      <w:r>
        <w:rPr>
          <w:rFonts w:hint="eastAsia" w:ascii="Times New Roman" w:hAnsi="Times New Roman" w:eastAsia="宋体" w:cs="Times New Roman"/>
          <w:color w:val="auto"/>
          <w:sz w:val="24"/>
          <w:highlight w:val="none"/>
          <w:lang w:val="en-US" w:eastAsia="zh-CN"/>
        </w:rPr>
        <w:t>6</w:t>
      </w:r>
      <w:r>
        <w:rPr>
          <w:rFonts w:hint="eastAsia" w:ascii="Times New Roman" w:hAnsi="Times New Roman" w:eastAsia="宋体" w:cs="Times New Roman"/>
          <w:color w:val="auto"/>
          <w:sz w:val="24"/>
          <w:highlight w:val="none"/>
        </w:rPr>
        <w:t>.00万元/年（大写：</w:t>
      </w:r>
      <w:r>
        <w:rPr>
          <w:rFonts w:hint="eastAsia" w:ascii="Times New Roman" w:hAnsi="Times New Roman" w:eastAsia="宋体" w:cs="Times New Roman"/>
          <w:color w:val="auto"/>
          <w:sz w:val="24"/>
          <w:highlight w:val="none"/>
          <w:lang w:val="en-US" w:eastAsia="zh-CN"/>
        </w:rPr>
        <w:t>肆拾陆万</w:t>
      </w:r>
      <w:r>
        <w:rPr>
          <w:rFonts w:hint="eastAsia" w:ascii="Times New Roman" w:hAnsi="Times New Roman" w:eastAsia="宋体" w:cs="Times New Roman"/>
          <w:color w:val="auto"/>
          <w:sz w:val="24"/>
          <w:highlight w:val="none"/>
        </w:rPr>
        <w:t>元整）（每年以10个月计算）。</w:t>
      </w:r>
    </w:p>
    <w:p>
      <w:pPr>
        <w:spacing w:line="460" w:lineRule="exact"/>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5、</w:t>
      </w:r>
      <w:r>
        <w:rPr>
          <w:rFonts w:ascii="Times New Roman" w:hAnsi="Times New Roman" w:eastAsia="宋体" w:cs="Times New Roman"/>
          <w:color w:val="auto"/>
          <w:sz w:val="24"/>
          <w:highlight w:val="none"/>
        </w:rPr>
        <w:t>最高限价：</w:t>
      </w:r>
      <w:r>
        <w:rPr>
          <w:rFonts w:hint="eastAsia" w:ascii="Times New Roman" w:hAnsi="Times New Roman" w:eastAsia="宋体" w:cs="Times New Roman"/>
          <w:color w:val="auto"/>
          <w:sz w:val="24"/>
          <w:highlight w:val="none"/>
        </w:rPr>
        <w:t>4</w:t>
      </w:r>
      <w:r>
        <w:rPr>
          <w:rFonts w:hint="eastAsia" w:ascii="Times New Roman" w:hAnsi="Times New Roman" w:eastAsia="宋体" w:cs="Times New Roman"/>
          <w:color w:val="auto"/>
          <w:sz w:val="24"/>
          <w:highlight w:val="none"/>
          <w:lang w:val="en-US" w:eastAsia="zh-CN"/>
        </w:rPr>
        <w:t>6</w:t>
      </w:r>
      <w:r>
        <w:rPr>
          <w:rFonts w:hint="eastAsia" w:ascii="Times New Roman" w:hAnsi="Times New Roman" w:eastAsia="宋体" w:cs="Times New Roman"/>
          <w:color w:val="auto"/>
          <w:sz w:val="24"/>
          <w:highlight w:val="none"/>
        </w:rPr>
        <w:t>.00万元/年（大写：</w:t>
      </w:r>
      <w:r>
        <w:rPr>
          <w:rFonts w:hint="eastAsia" w:ascii="Times New Roman" w:hAnsi="Times New Roman" w:eastAsia="宋体" w:cs="Times New Roman"/>
          <w:color w:val="auto"/>
          <w:sz w:val="24"/>
          <w:highlight w:val="none"/>
          <w:lang w:val="en-US" w:eastAsia="zh-CN"/>
        </w:rPr>
        <w:t>肆拾陆万</w:t>
      </w:r>
      <w:r>
        <w:rPr>
          <w:rFonts w:hint="eastAsia" w:ascii="Times New Roman" w:hAnsi="Times New Roman" w:eastAsia="宋体" w:cs="Times New Roman"/>
          <w:color w:val="auto"/>
          <w:sz w:val="24"/>
          <w:highlight w:val="none"/>
        </w:rPr>
        <w:t>元整）（每年以10个月计算）。</w:t>
      </w:r>
    </w:p>
    <w:p>
      <w:pPr>
        <w:spacing w:line="460" w:lineRule="exact"/>
        <w:ind w:firstLine="480" w:firstLineChars="200"/>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6、基本情况：</w:t>
      </w:r>
      <w:r>
        <w:rPr>
          <w:rFonts w:hint="eastAsia" w:ascii="Times New Roman" w:hAnsi="Times New Roman" w:eastAsia="宋体" w:cs="Times New Roman"/>
          <w:color w:val="auto"/>
          <w:sz w:val="24"/>
          <w:highlight w:val="none"/>
        </w:rPr>
        <w:t>楚雄医药高等专科学校食堂餐具洗消间经营合同期已满，受学校各食堂餐饮管理服务机构及委托经营人委托，采购学校食堂餐具洗消间服务单位一家。原设备有全自动洗碗机1台，型号为：CCJB219ZBds_119fjfb，烘干消毒机1台：HGJ4.2/24BWT（以上两项已使用八年），洗消间面积约为34m</w:t>
      </w:r>
      <w:r>
        <w:rPr>
          <w:rFonts w:hint="eastAsia" w:ascii="Times New Roman" w:hAnsi="Times New Roman" w:eastAsia="宋体" w:cs="Times New Roman"/>
          <w:color w:val="auto"/>
          <w:sz w:val="24"/>
          <w:highlight w:val="none"/>
          <w:vertAlign w:val="superscript"/>
        </w:rPr>
        <w:t>2</w:t>
      </w:r>
      <w:r>
        <w:rPr>
          <w:rFonts w:hint="eastAsia" w:ascii="Times New Roman" w:hAnsi="Times New Roman" w:eastAsia="宋体" w:cs="Times New Roman"/>
          <w:color w:val="auto"/>
          <w:sz w:val="24"/>
          <w:highlight w:val="none"/>
        </w:rPr>
        <w:t>，现有在校就餐学生6500人，不锈钢餐盘：6000个，</w:t>
      </w:r>
      <w:r>
        <w:rPr>
          <w:rFonts w:ascii="Times New Roman" w:hAnsi="Times New Roman" w:eastAsia="宋体" w:cs="Times New Roman"/>
          <w:color w:val="auto"/>
          <w:sz w:val="24"/>
          <w:highlight w:val="none"/>
        </w:rPr>
        <w:t>不锈钢餐碗6600个</w:t>
      </w:r>
      <w:r>
        <w:rPr>
          <w:rFonts w:hint="eastAsia" w:ascii="Times New Roman" w:hAnsi="Times New Roman" w:eastAsia="宋体" w:cs="Times New Roman"/>
          <w:color w:val="auto"/>
          <w:sz w:val="24"/>
          <w:highlight w:val="none"/>
        </w:rPr>
        <w:t>。设备大型维护、场所改造、水电费由楚雄医药高等专科学校承担。</w:t>
      </w:r>
    </w:p>
    <w:p>
      <w:pPr>
        <w:spacing w:line="460" w:lineRule="exact"/>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7、</w:t>
      </w:r>
      <w:r>
        <w:rPr>
          <w:rFonts w:ascii="Times New Roman" w:hAnsi="Times New Roman" w:eastAsia="宋体" w:cs="Times New Roman"/>
          <w:color w:val="auto"/>
          <w:sz w:val="24"/>
          <w:highlight w:val="none"/>
        </w:rPr>
        <w:t>采购需求：</w:t>
      </w:r>
      <w:r>
        <w:rPr>
          <w:rFonts w:hint="eastAsia" w:ascii="Times New Roman" w:hAnsi="Times New Roman" w:eastAsia="宋体" w:cs="Times New Roman"/>
          <w:color w:val="auto"/>
          <w:sz w:val="24"/>
          <w:highlight w:val="none"/>
          <w:lang w:val="en-US" w:eastAsia="zh-CN"/>
        </w:rPr>
        <w:t>成交</w:t>
      </w:r>
      <w:r>
        <w:rPr>
          <w:rFonts w:hint="eastAsia" w:ascii="Times New Roman" w:hAnsi="Times New Roman" w:eastAsia="宋体" w:cs="Times New Roman"/>
          <w:color w:val="auto"/>
          <w:sz w:val="24"/>
          <w:highlight w:val="none"/>
        </w:rPr>
        <w:t>服务商须统一着装，对楚雄医药高等专科学校食堂洗消间提供餐具清洗消毒服务；承担餐具损耗补新；洗消用品，餐具推车维护、维修；洗消间设备设施日常维修、维护、更换；餐具收集桶更换；装碗箱破损添补等服务内容。确保餐具干净、卫生、安全，并定期送检且符合检测标准，且仅限于楚雄医药高等专科学校内部使用。承担工作人员每年意外伤害保险（个人保费赔偿金额不得低于80.00万元），详见第五章“采购需求”。</w:t>
      </w:r>
    </w:p>
    <w:p>
      <w:pPr>
        <w:spacing w:line="460" w:lineRule="exact"/>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8</w:t>
      </w:r>
      <w:r>
        <w:rPr>
          <w:rFonts w:ascii="Times New Roman" w:hAnsi="Times New Roman" w:eastAsia="宋体" w:cs="Times New Roman"/>
          <w:color w:val="auto"/>
          <w:sz w:val="24"/>
          <w:highlight w:val="none"/>
        </w:rPr>
        <w:t>、服务</w:t>
      </w:r>
      <w:r>
        <w:rPr>
          <w:rFonts w:ascii="Times New Roman" w:hAnsi="Times New Roman" w:cs="Times New Roman"/>
          <w:color w:val="auto"/>
          <w:sz w:val="24"/>
          <w:highlight w:val="none"/>
        </w:rPr>
        <w:t>期限：3年，合同一年一签</w:t>
      </w:r>
      <w:r>
        <w:rPr>
          <w:rFonts w:ascii="Times New Roman" w:hAnsi="Times New Roman" w:eastAsia="宋体" w:cs="Times New Roman"/>
          <w:color w:val="auto"/>
          <w:sz w:val="24"/>
          <w:highlight w:val="none"/>
        </w:rPr>
        <w:t>。</w:t>
      </w:r>
    </w:p>
    <w:p>
      <w:pPr>
        <w:pStyle w:val="4"/>
        <w:rPr>
          <w:rFonts w:ascii="Times New Roman" w:hAnsi="Times New Roman" w:eastAsia="宋体" w:cs="Times New Roman"/>
          <w:color w:val="auto"/>
          <w:highlight w:val="none"/>
        </w:rPr>
      </w:pPr>
      <w:bookmarkStart w:id="12" w:name="_Toc35393622"/>
      <w:bookmarkStart w:id="13" w:name="_Toc31955_WPSOffice_Level2"/>
      <w:bookmarkStart w:id="14" w:name="_Toc44621996"/>
      <w:bookmarkStart w:id="15" w:name="_Toc28359080"/>
      <w:bookmarkStart w:id="16" w:name="_Toc35393791"/>
      <w:bookmarkStart w:id="17" w:name="_Toc28359003"/>
      <w:bookmarkStart w:id="18" w:name="_Toc28177"/>
      <w:r>
        <w:rPr>
          <w:rFonts w:ascii="Times New Roman" w:hAnsi="Times New Roman" w:eastAsia="宋体" w:cs="Times New Roman"/>
          <w:color w:val="auto"/>
          <w:highlight w:val="none"/>
        </w:rPr>
        <w:t>1.2 申请人的资格要求</w:t>
      </w:r>
      <w:bookmarkEnd w:id="12"/>
      <w:bookmarkEnd w:id="13"/>
      <w:bookmarkEnd w:id="14"/>
      <w:bookmarkEnd w:id="15"/>
      <w:bookmarkEnd w:id="16"/>
      <w:bookmarkEnd w:id="17"/>
      <w:bookmarkEnd w:id="18"/>
    </w:p>
    <w:p>
      <w:pPr>
        <w:spacing w:line="460" w:lineRule="exact"/>
        <w:ind w:firstLine="480" w:firstLineChars="200"/>
        <w:rPr>
          <w:rFonts w:hint="eastAsia" w:ascii="Times New Roman" w:hAnsi="Times New Roman" w:eastAsia="宋体" w:cs="Times New Roman"/>
          <w:color w:val="auto"/>
          <w:sz w:val="24"/>
          <w:highlight w:val="none"/>
          <w:lang w:eastAsia="zh-CN"/>
        </w:rPr>
      </w:pPr>
      <w:bookmarkStart w:id="19" w:name="_Toc29731_WPSOffice_Level3"/>
      <w:bookmarkStart w:id="20" w:name="_Toc28359081"/>
      <w:bookmarkStart w:id="21" w:name="_Toc28359004"/>
      <w:r>
        <w:rPr>
          <w:rFonts w:ascii="Times New Roman" w:hAnsi="Times New Roman" w:eastAsia="宋体" w:cs="Times New Roman"/>
          <w:color w:val="auto"/>
          <w:sz w:val="24"/>
          <w:highlight w:val="none"/>
        </w:rPr>
        <w:t>1</w:t>
      </w:r>
      <w:r>
        <w:rPr>
          <w:rFonts w:hint="eastAsia" w:ascii="Times New Roman" w:hAnsi="Times New Roman" w:eastAsia="宋体" w:cs="Times New Roman"/>
          <w:color w:val="auto"/>
          <w:sz w:val="24"/>
          <w:highlight w:val="none"/>
        </w:rPr>
        <w:t>、</w:t>
      </w:r>
      <w:bookmarkEnd w:id="19"/>
      <w:r>
        <w:rPr>
          <w:rFonts w:hint="eastAsia" w:ascii="Times New Roman" w:hAnsi="Times New Roman" w:eastAsia="宋体" w:cs="Times New Roman"/>
          <w:color w:val="auto"/>
          <w:sz w:val="24"/>
          <w:highlight w:val="none"/>
        </w:rPr>
        <w:t>满足《中华人民共和国政府采购法》第二十二条规定并提供相关证明材料</w:t>
      </w:r>
      <w:r>
        <w:rPr>
          <w:rFonts w:hint="eastAsia" w:ascii="Times New Roman" w:hAnsi="Times New Roman" w:eastAsia="宋体" w:cs="Times New Roman"/>
          <w:color w:val="auto"/>
          <w:sz w:val="24"/>
          <w:highlight w:val="none"/>
          <w:lang w:eastAsia="zh-CN"/>
        </w:rPr>
        <w:t>；</w:t>
      </w:r>
    </w:p>
    <w:p>
      <w:pPr>
        <w:spacing w:line="460" w:lineRule="exact"/>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2、落实政府采购政策需满足的资格要求：无；</w:t>
      </w:r>
    </w:p>
    <w:p>
      <w:pPr>
        <w:spacing w:line="460" w:lineRule="exact"/>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3、本项目的特定资格要求：</w:t>
      </w:r>
    </w:p>
    <w:p>
      <w:pPr>
        <w:spacing w:line="460" w:lineRule="exact"/>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（1）供应商须提供认为能够完成项目的相关证照如项目负责人及成员的《健康证》等，如有要求须协助办理《排污许可证》、《卫生许可证》等证照。</w:t>
      </w:r>
    </w:p>
    <w:p>
      <w:pPr>
        <w:spacing w:line="360" w:lineRule="auto"/>
        <w:ind w:firstLine="480" w:firstLineChars="200"/>
        <w:jc w:val="left"/>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（2）</w:t>
      </w:r>
      <w:r>
        <w:rPr>
          <w:rFonts w:ascii="Times New Roman" w:hAnsi="Times New Roman" w:eastAsia="宋体" w:cs="Times New Roman"/>
          <w:color w:val="auto"/>
          <w:sz w:val="24"/>
          <w:highlight w:val="none"/>
        </w:rPr>
        <w:t>近三年内在经营活动中没有重大违法记录或出现重大质量问题；没有处于被责令停业，投标资格被取消，财产被接管、冻结、破产状态；没有被纳入违约失信企业名单、列为失信被执行人。</w:t>
      </w:r>
    </w:p>
    <w:p>
      <w:pPr>
        <w:spacing w:line="360" w:lineRule="auto"/>
        <w:ind w:firstLine="480" w:firstLineChars="200"/>
        <w:jc w:val="left"/>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3）供应商在投标截止时间前未被列入“信用中国”网站（www.creditchina.gov.cn）失信被执行人、重大税收违法案件当事人名单、政府采购严重违法失信行为记录名单及中国政府采购网（www.ccgp.gov.cn）“政府采购严重违法失信行为信息记录”（提供查询截图）。若为失信企业，将取消成交资格。</w:t>
      </w:r>
    </w:p>
    <w:p>
      <w:pPr>
        <w:spacing w:line="460" w:lineRule="exact"/>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4、供应商</w:t>
      </w:r>
      <w:r>
        <w:rPr>
          <w:rFonts w:ascii="Times New Roman" w:hAnsi="Times New Roman" w:eastAsia="宋体" w:cs="Times New Roman"/>
          <w:color w:val="auto"/>
          <w:sz w:val="24"/>
          <w:highlight w:val="none"/>
        </w:rPr>
        <w:t>提供的资料中被查实有虚假证明材料的，采购人有权取消其磋商资格；磋商后中选的，其中选资格无效。</w:t>
      </w:r>
    </w:p>
    <w:p>
      <w:pPr>
        <w:spacing w:line="460" w:lineRule="exact"/>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5、本次磋商不接受联合体投标。</w:t>
      </w:r>
    </w:p>
    <w:p>
      <w:pPr>
        <w:pStyle w:val="4"/>
        <w:rPr>
          <w:rFonts w:ascii="Times New Roman" w:hAnsi="Times New Roman" w:eastAsia="宋体" w:cs="Times New Roman"/>
          <w:color w:val="auto"/>
          <w:highlight w:val="none"/>
        </w:rPr>
      </w:pPr>
      <w:bookmarkStart w:id="22" w:name="_Toc20584_WPSOffice_Level2"/>
      <w:bookmarkStart w:id="23" w:name="_Toc44621997"/>
      <w:bookmarkStart w:id="24" w:name="_Toc35393623"/>
      <w:bookmarkStart w:id="25" w:name="_Toc35393792"/>
      <w:bookmarkStart w:id="26" w:name="_Toc1590"/>
      <w:r>
        <w:rPr>
          <w:rFonts w:ascii="Times New Roman" w:hAnsi="Times New Roman" w:eastAsia="宋体" w:cs="Times New Roman"/>
          <w:color w:val="auto"/>
          <w:highlight w:val="none"/>
        </w:rPr>
        <w:t>1.3 获取采购文件</w:t>
      </w:r>
      <w:bookmarkEnd w:id="20"/>
      <w:bookmarkEnd w:id="21"/>
      <w:bookmarkEnd w:id="22"/>
      <w:bookmarkEnd w:id="23"/>
      <w:bookmarkEnd w:id="24"/>
      <w:bookmarkEnd w:id="25"/>
      <w:bookmarkEnd w:id="26"/>
    </w:p>
    <w:p>
      <w:pPr>
        <w:spacing w:line="460" w:lineRule="exact"/>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w:t>
      </w:r>
      <w:r>
        <w:rPr>
          <w:rFonts w:ascii="Times New Roman" w:hAnsi="Times New Roman" w:eastAsia="宋体" w:cs="Times New Roman"/>
          <w:color w:val="auto"/>
          <w:sz w:val="24"/>
          <w:highlight w:val="none"/>
        </w:rPr>
        <w:t>时间：</w:t>
      </w:r>
      <w:r>
        <w:rPr>
          <w:rFonts w:hint="eastAsia" w:ascii="Times New Roman" w:hAnsi="Times New Roman" w:eastAsia="宋体" w:cs="Times New Roman"/>
          <w:color w:val="auto"/>
          <w:sz w:val="24"/>
          <w:highlight w:val="none"/>
        </w:rPr>
        <w:t>2023年1月</w:t>
      </w:r>
      <w:r>
        <w:rPr>
          <w:rFonts w:hint="eastAsia" w:ascii="Times New Roman" w:hAnsi="Times New Roman" w:eastAsia="宋体" w:cs="Times New Roman"/>
          <w:color w:val="auto"/>
          <w:sz w:val="24"/>
          <w:highlight w:val="none"/>
          <w:lang w:val="en-US" w:eastAsia="zh-CN"/>
        </w:rPr>
        <w:t>8</w:t>
      </w:r>
      <w:r>
        <w:rPr>
          <w:rFonts w:hint="eastAsia" w:ascii="Times New Roman" w:hAnsi="Times New Roman" w:eastAsia="宋体" w:cs="Times New Roman"/>
          <w:color w:val="auto"/>
          <w:sz w:val="24"/>
          <w:highlight w:val="none"/>
        </w:rPr>
        <w:t>日至2023年1月</w:t>
      </w:r>
      <w:r>
        <w:rPr>
          <w:rFonts w:hint="eastAsia" w:ascii="Times New Roman" w:hAnsi="Times New Roman" w:eastAsia="宋体" w:cs="Times New Roman"/>
          <w:color w:val="auto"/>
          <w:sz w:val="24"/>
          <w:highlight w:val="none"/>
          <w:lang w:val="en-US" w:eastAsia="zh-CN"/>
        </w:rPr>
        <w:t>18</w:t>
      </w:r>
      <w:r>
        <w:rPr>
          <w:rFonts w:hint="eastAsia" w:ascii="Times New Roman" w:hAnsi="Times New Roman" w:eastAsia="宋体" w:cs="Times New Roman"/>
          <w:color w:val="auto"/>
          <w:sz w:val="24"/>
          <w:highlight w:val="none"/>
        </w:rPr>
        <w:t>日</w:t>
      </w:r>
    </w:p>
    <w:p>
      <w:pPr>
        <w:spacing w:line="460" w:lineRule="exact"/>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2、</w:t>
      </w:r>
      <w:r>
        <w:rPr>
          <w:rFonts w:ascii="Times New Roman" w:hAnsi="Times New Roman" w:eastAsia="宋体" w:cs="Times New Roman"/>
          <w:color w:val="auto"/>
          <w:sz w:val="24"/>
          <w:highlight w:val="none"/>
        </w:rPr>
        <w:t>地点：</w:t>
      </w:r>
      <w:r>
        <w:rPr>
          <w:rFonts w:ascii="Times New Roman" w:hAnsi="Times New Roman" w:eastAsia="宋体" w:cs="Times New Roman"/>
          <w:color w:val="auto"/>
          <w:sz w:val="24"/>
          <w:highlight w:val="none"/>
          <w:lang w:val="zh-CN"/>
        </w:rPr>
        <w:t>楚雄医药高等专科学校</w:t>
      </w:r>
      <w:r>
        <w:rPr>
          <w:rFonts w:hint="eastAsia" w:ascii="Times New Roman" w:hAnsi="Times New Roman" w:eastAsia="宋体" w:cs="Times New Roman"/>
          <w:color w:val="auto"/>
          <w:sz w:val="24"/>
          <w:highlight w:val="none"/>
        </w:rPr>
        <w:t>保卫处招标信息</w:t>
      </w:r>
      <w:r>
        <w:rPr>
          <w:rFonts w:ascii="Times New Roman" w:hAnsi="Times New Roman" w:eastAsia="宋体" w:cs="Times New Roman"/>
          <w:color w:val="auto"/>
          <w:sz w:val="24"/>
          <w:highlight w:val="none"/>
          <w:lang w:val="zh-CN"/>
        </w:rPr>
        <w:t>栏下载</w:t>
      </w:r>
      <w:r>
        <w:rPr>
          <w:rFonts w:ascii="Times New Roman" w:hAnsi="Times New Roman" w:eastAsia="宋体" w:cs="Times New Roman"/>
          <w:color w:val="auto"/>
          <w:sz w:val="24"/>
          <w:highlight w:val="none"/>
        </w:rPr>
        <w:t>（</w:t>
      </w:r>
      <w:r>
        <w:rPr>
          <w:rFonts w:ascii="Times New Roman" w:hAnsi="Times New Roman" w:eastAsia="宋体" w:cs="Times New Roman"/>
          <w:color w:val="auto"/>
          <w:sz w:val="24"/>
          <w:highlight w:val="none"/>
          <w:lang w:val="zh-CN"/>
        </w:rPr>
        <w:t>网址</w:t>
      </w:r>
      <w:r>
        <w:rPr>
          <w:rFonts w:ascii="Times New Roman" w:hAnsi="Times New Roman" w:eastAsia="宋体" w:cs="Times New Roman"/>
          <w:color w:val="auto"/>
          <w:sz w:val="24"/>
          <w:highlight w:val="none"/>
        </w:rPr>
        <w:t>：</w:t>
      </w:r>
      <w:r>
        <w:rPr>
          <w:color w:val="auto"/>
          <w:highlight w:val="none"/>
        </w:rPr>
        <w:fldChar w:fldCharType="begin"/>
      </w:r>
      <w:r>
        <w:rPr>
          <w:color w:val="auto"/>
          <w:highlight w:val="none"/>
        </w:rPr>
        <w:instrText xml:space="preserve"> HYPERLINK "http://hqc.cxmtc.net/default.html）" </w:instrText>
      </w:r>
      <w:r>
        <w:rPr>
          <w:color w:val="auto"/>
          <w:highlight w:val="none"/>
        </w:rPr>
        <w:fldChar w:fldCharType="separate"/>
      </w:r>
      <w:r>
        <w:rPr>
          <w:rFonts w:ascii="Times New Roman" w:hAnsi="Times New Roman" w:eastAsia="宋体" w:cs="Times New Roman"/>
          <w:color w:val="auto"/>
          <w:sz w:val="24"/>
          <w:highlight w:val="none"/>
        </w:rPr>
        <w:t>http://www.cxmtc.net/list/cnhqcPc/38/1055/auto/12/0.html）</w:t>
      </w:r>
      <w:r>
        <w:rPr>
          <w:rFonts w:ascii="Times New Roman" w:hAnsi="Times New Roman" w:eastAsia="宋体" w:cs="Times New Roman"/>
          <w:color w:val="auto"/>
          <w:sz w:val="24"/>
          <w:highlight w:val="none"/>
        </w:rPr>
        <w:fldChar w:fldCharType="end"/>
      </w:r>
    </w:p>
    <w:p>
      <w:pPr>
        <w:spacing w:line="460" w:lineRule="exact"/>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3、</w:t>
      </w:r>
      <w:r>
        <w:rPr>
          <w:rFonts w:ascii="Times New Roman" w:hAnsi="Times New Roman" w:eastAsia="宋体" w:cs="Times New Roman"/>
          <w:color w:val="auto"/>
          <w:sz w:val="24"/>
          <w:highlight w:val="none"/>
        </w:rPr>
        <w:t>方式：网上自行下载</w:t>
      </w:r>
    </w:p>
    <w:p>
      <w:pPr>
        <w:pStyle w:val="4"/>
        <w:rPr>
          <w:rFonts w:ascii="Times New Roman" w:hAnsi="Times New Roman" w:eastAsia="宋体" w:cs="Times New Roman"/>
          <w:color w:val="auto"/>
          <w:highlight w:val="none"/>
        </w:rPr>
      </w:pPr>
      <w:bookmarkStart w:id="27" w:name="_Toc19741"/>
      <w:bookmarkStart w:id="28" w:name="_Toc26790_WPSOffice_Level2"/>
      <w:bookmarkStart w:id="29" w:name="_Toc35393624"/>
      <w:bookmarkStart w:id="30" w:name="_Toc44621998"/>
      <w:bookmarkStart w:id="31" w:name="_Toc35393793"/>
      <w:r>
        <w:rPr>
          <w:rFonts w:ascii="Times New Roman" w:hAnsi="Times New Roman" w:eastAsia="宋体" w:cs="Times New Roman"/>
          <w:color w:val="auto"/>
          <w:highlight w:val="none"/>
        </w:rPr>
        <w:t>1.4 响应文件提交</w:t>
      </w:r>
      <w:bookmarkEnd w:id="27"/>
    </w:p>
    <w:p>
      <w:pPr>
        <w:spacing w:line="460" w:lineRule="exact"/>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w:t>
      </w:r>
      <w:r>
        <w:rPr>
          <w:rFonts w:ascii="Times New Roman" w:hAnsi="Times New Roman" w:eastAsia="宋体" w:cs="Times New Roman"/>
          <w:color w:val="auto"/>
          <w:sz w:val="24"/>
          <w:highlight w:val="none"/>
        </w:rPr>
        <w:t>截止时间</w:t>
      </w:r>
      <w:bookmarkEnd w:id="28"/>
      <w:bookmarkEnd w:id="29"/>
      <w:bookmarkEnd w:id="30"/>
      <w:bookmarkEnd w:id="31"/>
      <w:r>
        <w:rPr>
          <w:rFonts w:ascii="Times New Roman" w:hAnsi="Times New Roman" w:eastAsia="宋体" w:cs="Times New Roman"/>
          <w:color w:val="auto"/>
          <w:sz w:val="24"/>
          <w:highlight w:val="none"/>
        </w:rPr>
        <w:t>：202</w:t>
      </w:r>
      <w:r>
        <w:rPr>
          <w:rFonts w:hint="eastAsia" w:ascii="Times New Roman" w:hAnsi="Times New Roman" w:eastAsia="宋体" w:cs="Times New Roman"/>
          <w:color w:val="auto"/>
          <w:sz w:val="24"/>
          <w:highlight w:val="none"/>
        </w:rPr>
        <w:t>3</w:t>
      </w:r>
      <w:r>
        <w:rPr>
          <w:rFonts w:ascii="Times New Roman" w:hAnsi="Times New Roman" w:eastAsia="宋体" w:cs="Times New Roman"/>
          <w:color w:val="auto"/>
          <w:sz w:val="24"/>
          <w:highlight w:val="none"/>
        </w:rPr>
        <w:t>年</w:t>
      </w:r>
      <w:r>
        <w:rPr>
          <w:rFonts w:hint="eastAsia" w:ascii="Times New Roman" w:hAnsi="Times New Roman" w:eastAsia="宋体" w:cs="Times New Roman"/>
          <w:color w:val="auto"/>
          <w:sz w:val="24"/>
          <w:highlight w:val="none"/>
        </w:rPr>
        <w:t>1</w:t>
      </w:r>
      <w:r>
        <w:rPr>
          <w:rFonts w:ascii="Times New Roman" w:hAnsi="Times New Roman" w:eastAsia="宋体" w:cs="Times New Roman"/>
          <w:color w:val="auto"/>
          <w:sz w:val="24"/>
          <w:highlight w:val="none"/>
        </w:rPr>
        <w:t>月</w:t>
      </w:r>
      <w:r>
        <w:rPr>
          <w:rFonts w:hint="eastAsia" w:ascii="Times New Roman" w:hAnsi="Times New Roman" w:eastAsia="宋体" w:cs="Times New Roman"/>
          <w:color w:val="auto"/>
          <w:sz w:val="24"/>
          <w:highlight w:val="none"/>
          <w:lang w:val="en-US" w:eastAsia="zh-CN"/>
        </w:rPr>
        <w:t>19</w:t>
      </w:r>
      <w:r>
        <w:rPr>
          <w:rFonts w:ascii="Times New Roman" w:hAnsi="Times New Roman" w:eastAsia="宋体" w:cs="Times New Roman"/>
          <w:color w:val="auto"/>
          <w:sz w:val="24"/>
          <w:highlight w:val="none"/>
        </w:rPr>
        <w:t>日</w:t>
      </w:r>
      <w:r>
        <w:rPr>
          <w:rFonts w:hint="eastAsia" w:ascii="Times New Roman" w:hAnsi="Times New Roman" w:eastAsia="宋体" w:cs="Times New Roman"/>
          <w:color w:val="auto"/>
          <w:sz w:val="24"/>
          <w:highlight w:val="none"/>
        </w:rPr>
        <w:t>09</w:t>
      </w:r>
      <w:r>
        <w:rPr>
          <w:rFonts w:ascii="Times New Roman" w:hAnsi="Times New Roman" w:eastAsia="宋体" w:cs="Times New Roman"/>
          <w:color w:val="auto"/>
          <w:sz w:val="24"/>
          <w:highlight w:val="none"/>
        </w:rPr>
        <w:t>点 00 分至</w:t>
      </w:r>
      <w:r>
        <w:rPr>
          <w:rFonts w:hint="eastAsia" w:ascii="Times New Roman" w:hAnsi="Times New Roman" w:eastAsia="宋体" w:cs="Times New Roman"/>
          <w:color w:val="auto"/>
          <w:sz w:val="24"/>
          <w:highlight w:val="none"/>
        </w:rPr>
        <w:t>09</w:t>
      </w:r>
      <w:r>
        <w:rPr>
          <w:rFonts w:ascii="Times New Roman" w:hAnsi="Times New Roman" w:eastAsia="宋体" w:cs="Times New Roman"/>
          <w:color w:val="auto"/>
          <w:sz w:val="24"/>
          <w:highlight w:val="none"/>
        </w:rPr>
        <w:t>点30 分（北京时间）</w:t>
      </w:r>
    </w:p>
    <w:p>
      <w:pPr>
        <w:spacing w:line="460" w:lineRule="exact"/>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2、</w:t>
      </w:r>
      <w:r>
        <w:rPr>
          <w:rFonts w:ascii="Times New Roman" w:hAnsi="Times New Roman" w:eastAsia="宋体" w:cs="Times New Roman"/>
          <w:color w:val="auto"/>
          <w:sz w:val="24"/>
          <w:highlight w:val="none"/>
        </w:rPr>
        <w:t>地点：</w:t>
      </w:r>
      <w:r>
        <w:rPr>
          <w:rFonts w:hint="eastAsia" w:ascii="Times New Roman" w:hAnsi="Times New Roman" w:eastAsia="宋体" w:cs="Times New Roman"/>
          <w:color w:val="auto"/>
          <w:sz w:val="24"/>
          <w:highlight w:val="none"/>
        </w:rPr>
        <w:t>楚雄医药高等专科学校远志楼</w:t>
      </w:r>
      <w:r>
        <w:rPr>
          <w:rFonts w:hint="default" w:ascii="Times New Roman" w:hAnsi="Times New Roman" w:eastAsia="宋体" w:cs="Times New Roman"/>
          <w:color w:val="auto"/>
          <w:sz w:val="24"/>
          <w:highlight w:val="none"/>
        </w:rPr>
        <w:t>811</w:t>
      </w:r>
      <w:r>
        <w:rPr>
          <w:rFonts w:hint="eastAsia" w:ascii="Times New Roman" w:hAnsi="Times New Roman" w:eastAsia="宋体" w:cs="Times New Roman"/>
          <w:color w:val="auto"/>
          <w:sz w:val="24"/>
          <w:highlight w:val="none"/>
        </w:rPr>
        <w:t>保卫处会议室</w:t>
      </w:r>
    </w:p>
    <w:p>
      <w:pPr>
        <w:pStyle w:val="4"/>
        <w:rPr>
          <w:rFonts w:ascii="Times New Roman" w:hAnsi="Times New Roman" w:eastAsia="宋体" w:cs="Times New Roman"/>
          <w:color w:val="auto"/>
          <w:highlight w:val="none"/>
        </w:rPr>
      </w:pPr>
      <w:bookmarkStart w:id="32" w:name="_Toc11477"/>
      <w:r>
        <w:rPr>
          <w:rFonts w:ascii="Times New Roman" w:hAnsi="Times New Roman" w:eastAsia="宋体" w:cs="Times New Roman"/>
          <w:color w:val="auto"/>
          <w:highlight w:val="none"/>
        </w:rPr>
        <w:t>1.5 开启</w:t>
      </w:r>
      <w:bookmarkEnd w:id="32"/>
    </w:p>
    <w:p>
      <w:pPr>
        <w:spacing w:line="460" w:lineRule="exact"/>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w:t>
      </w:r>
      <w:r>
        <w:rPr>
          <w:rFonts w:ascii="Times New Roman" w:hAnsi="Times New Roman" w:eastAsia="宋体" w:cs="Times New Roman"/>
          <w:color w:val="auto"/>
          <w:sz w:val="24"/>
          <w:highlight w:val="none"/>
        </w:rPr>
        <w:t>时间：202</w:t>
      </w:r>
      <w:r>
        <w:rPr>
          <w:rFonts w:hint="eastAsia" w:ascii="Times New Roman" w:hAnsi="Times New Roman" w:eastAsia="宋体" w:cs="Times New Roman"/>
          <w:color w:val="auto"/>
          <w:sz w:val="24"/>
          <w:highlight w:val="none"/>
        </w:rPr>
        <w:t>3</w:t>
      </w:r>
      <w:r>
        <w:rPr>
          <w:rFonts w:ascii="Times New Roman" w:hAnsi="Times New Roman" w:eastAsia="宋体" w:cs="Times New Roman"/>
          <w:color w:val="auto"/>
          <w:sz w:val="24"/>
          <w:highlight w:val="none"/>
        </w:rPr>
        <w:t>年</w:t>
      </w:r>
      <w:r>
        <w:rPr>
          <w:rFonts w:hint="eastAsia" w:ascii="Times New Roman" w:hAnsi="Times New Roman" w:eastAsia="宋体" w:cs="Times New Roman"/>
          <w:color w:val="auto"/>
          <w:sz w:val="24"/>
          <w:highlight w:val="none"/>
        </w:rPr>
        <w:t>1</w:t>
      </w:r>
      <w:r>
        <w:rPr>
          <w:rFonts w:ascii="Times New Roman" w:hAnsi="Times New Roman" w:eastAsia="宋体" w:cs="Times New Roman"/>
          <w:color w:val="auto"/>
          <w:sz w:val="24"/>
          <w:highlight w:val="none"/>
        </w:rPr>
        <w:t>月</w:t>
      </w:r>
      <w:r>
        <w:rPr>
          <w:rFonts w:hint="eastAsia" w:ascii="Times New Roman" w:hAnsi="Times New Roman" w:eastAsia="宋体" w:cs="Times New Roman"/>
          <w:color w:val="auto"/>
          <w:sz w:val="24"/>
          <w:highlight w:val="none"/>
          <w:lang w:val="en-US" w:eastAsia="zh-CN"/>
        </w:rPr>
        <w:t>19</w:t>
      </w:r>
      <w:r>
        <w:rPr>
          <w:rFonts w:ascii="Times New Roman" w:hAnsi="Times New Roman" w:eastAsia="宋体" w:cs="Times New Roman"/>
          <w:color w:val="auto"/>
          <w:sz w:val="24"/>
          <w:highlight w:val="none"/>
        </w:rPr>
        <w:t>日</w:t>
      </w:r>
      <w:r>
        <w:rPr>
          <w:rFonts w:hint="eastAsia" w:ascii="Times New Roman" w:hAnsi="Times New Roman" w:eastAsia="宋体" w:cs="Times New Roman"/>
          <w:color w:val="auto"/>
          <w:sz w:val="24"/>
          <w:highlight w:val="none"/>
        </w:rPr>
        <w:t>09</w:t>
      </w:r>
      <w:r>
        <w:rPr>
          <w:rFonts w:ascii="Times New Roman" w:hAnsi="Times New Roman" w:eastAsia="宋体" w:cs="Times New Roman"/>
          <w:color w:val="auto"/>
          <w:sz w:val="24"/>
          <w:highlight w:val="none"/>
        </w:rPr>
        <w:t>点30 分（北京时间）</w:t>
      </w:r>
    </w:p>
    <w:p>
      <w:pPr>
        <w:spacing w:line="460" w:lineRule="exact"/>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2、</w:t>
      </w:r>
      <w:r>
        <w:rPr>
          <w:rFonts w:ascii="Times New Roman" w:hAnsi="Times New Roman" w:eastAsia="宋体" w:cs="Times New Roman"/>
          <w:color w:val="auto"/>
          <w:sz w:val="24"/>
          <w:highlight w:val="none"/>
        </w:rPr>
        <w:t>地点：</w:t>
      </w:r>
      <w:bookmarkStart w:id="33" w:name="_Toc4901_WPSOffice_Level2"/>
      <w:r>
        <w:rPr>
          <w:rFonts w:hint="eastAsia" w:ascii="Times New Roman" w:hAnsi="Times New Roman" w:eastAsia="宋体" w:cs="Times New Roman"/>
          <w:color w:val="auto"/>
          <w:sz w:val="24"/>
          <w:highlight w:val="none"/>
        </w:rPr>
        <w:t>楚雄医药高等专科学校远志楼</w:t>
      </w:r>
      <w:r>
        <w:rPr>
          <w:rFonts w:hint="default" w:ascii="Times New Roman" w:hAnsi="Times New Roman" w:eastAsia="宋体" w:cs="Times New Roman"/>
          <w:color w:val="auto"/>
          <w:sz w:val="24"/>
          <w:highlight w:val="none"/>
        </w:rPr>
        <w:t>811</w:t>
      </w:r>
      <w:r>
        <w:rPr>
          <w:rFonts w:hint="eastAsia" w:ascii="Times New Roman" w:hAnsi="Times New Roman" w:eastAsia="宋体" w:cs="Times New Roman"/>
          <w:color w:val="auto"/>
          <w:sz w:val="24"/>
          <w:highlight w:val="none"/>
        </w:rPr>
        <w:t>保卫处会议室</w:t>
      </w:r>
    </w:p>
    <w:bookmarkEnd w:id="33"/>
    <w:p>
      <w:pPr>
        <w:pStyle w:val="4"/>
        <w:rPr>
          <w:rFonts w:ascii="Times New Roman" w:hAnsi="Times New Roman" w:eastAsia="宋体" w:cs="Times New Roman"/>
          <w:color w:val="auto"/>
          <w:sz w:val="24"/>
          <w:highlight w:val="none"/>
        </w:rPr>
      </w:pPr>
      <w:bookmarkStart w:id="34" w:name="_Toc35393626"/>
      <w:bookmarkStart w:id="35" w:name="_Toc44622000"/>
      <w:bookmarkStart w:id="36" w:name="_Toc35393795"/>
      <w:bookmarkStart w:id="37" w:name="_Toc30065_WPSOffice_Level2"/>
      <w:bookmarkStart w:id="38" w:name="_Toc2323"/>
      <w:r>
        <w:rPr>
          <w:rFonts w:ascii="Times New Roman" w:hAnsi="Times New Roman" w:eastAsia="宋体" w:cs="Times New Roman"/>
          <w:color w:val="auto"/>
          <w:highlight w:val="none"/>
        </w:rPr>
        <w:t>1.6 其他补充事宜</w:t>
      </w:r>
      <w:bookmarkEnd w:id="34"/>
      <w:bookmarkEnd w:id="35"/>
      <w:bookmarkEnd w:id="36"/>
      <w:bookmarkEnd w:id="37"/>
      <w:bookmarkEnd w:id="38"/>
    </w:p>
    <w:p>
      <w:pPr>
        <w:spacing w:line="460" w:lineRule="exact"/>
        <w:ind w:firstLine="48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w:t>
      </w:r>
      <w:r>
        <w:rPr>
          <w:rFonts w:ascii="Times New Roman" w:hAnsi="Times New Roman" w:eastAsia="宋体" w:cs="Times New Roman"/>
          <w:color w:val="auto"/>
          <w:sz w:val="24"/>
          <w:highlight w:val="none"/>
        </w:rPr>
        <w:t>本项目采用纸质评标，在规定的响应文件递交的时间现场报名并递交响应文件。</w:t>
      </w:r>
    </w:p>
    <w:p>
      <w:pPr>
        <w:spacing w:line="460" w:lineRule="exact"/>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2、</w:t>
      </w:r>
      <w:r>
        <w:rPr>
          <w:rFonts w:ascii="Times New Roman" w:hAnsi="Times New Roman" w:eastAsia="宋体" w:cs="Times New Roman"/>
          <w:color w:val="auto"/>
          <w:sz w:val="24"/>
          <w:highlight w:val="none"/>
        </w:rPr>
        <w:t>递交响应文件截止时间到，仍未按</w:t>
      </w:r>
      <w:r>
        <w:rPr>
          <w:rFonts w:hint="eastAsia" w:ascii="Times New Roman" w:hAnsi="Times New Roman" w:eastAsia="宋体" w:cs="Times New Roman"/>
          <w:color w:val="auto"/>
          <w:sz w:val="24"/>
          <w:highlight w:val="none"/>
        </w:rPr>
        <w:t>磋商</w:t>
      </w:r>
      <w:r>
        <w:rPr>
          <w:rFonts w:ascii="Times New Roman" w:hAnsi="Times New Roman" w:eastAsia="宋体" w:cs="Times New Roman"/>
          <w:color w:val="auto"/>
          <w:sz w:val="24"/>
          <w:highlight w:val="none"/>
        </w:rPr>
        <w:t>文件的要求到达，视为自动放弃投标。</w:t>
      </w:r>
    </w:p>
    <w:p>
      <w:pPr>
        <w:spacing w:line="460" w:lineRule="exact"/>
        <w:ind w:firstLine="480" w:firstLineChars="200"/>
        <w:rPr>
          <w:rFonts w:ascii="Times New Roman" w:hAnsi="Times New Roman" w:eastAsia="宋体" w:cs="Times New Roman"/>
          <w:color w:val="auto"/>
          <w:sz w:val="24"/>
          <w:highlight w:val="none"/>
        </w:rPr>
      </w:pPr>
      <w:bookmarkStart w:id="39" w:name="_Toc35393796"/>
      <w:bookmarkStart w:id="40" w:name="_Toc28359085"/>
      <w:bookmarkStart w:id="41" w:name="_Toc28359008"/>
      <w:bookmarkStart w:id="42" w:name="_Toc44622001"/>
      <w:bookmarkStart w:id="43" w:name="_Toc14054_WPSOffice_Level2"/>
      <w:bookmarkStart w:id="44" w:name="_Toc35393627"/>
      <w:r>
        <w:rPr>
          <w:rFonts w:hint="eastAsia" w:ascii="Times New Roman" w:hAnsi="Times New Roman" w:eastAsia="宋体" w:cs="Times New Roman"/>
          <w:color w:val="auto"/>
          <w:sz w:val="24"/>
          <w:highlight w:val="none"/>
        </w:rPr>
        <w:t>3、</w:t>
      </w:r>
      <w:r>
        <w:rPr>
          <w:rFonts w:ascii="Times New Roman" w:hAnsi="Times New Roman" w:eastAsia="宋体" w:cs="Times New Roman"/>
          <w:color w:val="auto"/>
          <w:kern w:val="0"/>
          <w:sz w:val="24"/>
          <w:highlight w:val="none"/>
        </w:rPr>
        <w:t>法人代表或授权代表须准时到会，出示身份证原件并签名以示出席；否则，其</w:t>
      </w:r>
      <w:r>
        <w:rPr>
          <w:rFonts w:hint="eastAsia" w:ascii="Times New Roman" w:hAnsi="Times New Roman" w:eastAsia="宋体" w:cs="Times New Roman"/>
          <w:color w:val="auto"/>
          <w:kern w:val="0"/>
          <w:sz w:val="24"/>
          <w:highlight w:val="none"/>
        </w:rPr>
        <w:t>磋商</w:t>
      </w:r>
      <w:r>
        <w:rPr>
          <w:rFonts w:ascii="Times New Roman" w:hAnsi="Times New Roman" w:eastAsia="宋体" w:cs="Times New Roman"/>
          <w:color w:val="auto"/>
          <w:kern w:val="0"/>
          <w:sz w:val="24"/>
          <w:highlight w:val="none"/>
        </w:rPr>
        <w:t>将被拒绝。</w:t>
      </w:r>
    </w:p>
    <w:p>
      <w:pPr>
        <w:pStyle w:val="4"/>
        <w:rPr>
          <w:rFonts w:ascii="Times New Roman" w:hAnsi="Times New Roman" w:eastAsia="宋体" w:cs="Times New Roman"/>
          <w:color w:val="auto"/>
          <w:highlight w:val="none"/>
        </w:rPr>
      </w:pPr>
      <w:bookmarkStart w:id="45" w:name="_Toc30748"/>
      <w:r>
        <w:rPr>
          <w:rFonts w:ascii="Times New Roman" w:hAnsi="Times New Roman" w:eastAsia="宋体" w:cs="Times New Roman"/>
          <w:color w:val="auto"/>
          <w:highlight w:val="none"/>
        </w:rPr>
        <w:t xml:space="preserve">1.7 </w:t>
      </w:r>
      <w:r>
        <w:rPr>
          <w:rFonts w:hint="eastAsia" w:ascii="Times New Roman" w:hAnsi="Times New Roman" w:eastAsia="宋体" w:cs="Times New Roman"/>
          <w:color w:val="auto"/>
          <w:highlight w:val="none"/>
        </w:rPr>
        <w:t>磋商</w:t>
      </w:r>
      <w:r>
        <w:rPr>
          <w:rFonts w:ascii="Times New Roman" w:hAnsi="Times New Roman" w:eastAsia="宋体" w:cs="Times New Roman"/>
          <w:color w:val="auto"/>
          <w:highlight w:val="none"/>
        </w:rPr>
        <w:t>保证金</w:t>
      </w:r>
      <w:bookmarkEnd w:id="45"/>
    </w:p>
    <w:p>
      <w:pPr>
        <w:spacing w:line="460" w:lineRule="exact"/>
        <w:ind w:firstLine="480" w:firstLineChars="200"/>
        <w:rPr>
          <w:rFonts w:ascii="Times New Roman" w:hAnsi="Times New Roman" w:eastAsia="宋体" w:cs="Times New Roman"/>
          <w:color w:val="auto"/>
          <w:kern w:val="0"/>
          <w:sz w:val="24"/>
          <w:highlight w:val="none"/>
        </w:rPr>
      </w:pPr>
      <w:r>
        <w:rPr>
          <w:rFonts w:ascii="Times New Roman" w:hAnsi="Times New Roman" w:eastAsia="宋体" w:cs="Times New Roman"/>
          <w:color w:val="auto"/>
          <w:sz w:val="24"/>
          <w:highlight w:val="none"/>
        </w:rPr>
        <w:t>保证金的形式：现金，保证金的金额：</w:t>
      </w:r>
      <w:r>
        <w:rPr>
          <w:rFonts w:hint="eastAsia" w:ascii="Times New Roman" w:hAnsi="Times New Roman" w:eastAsia="宋体" w:cs="Times New Roman"/>
          <w:color w:val="auto"/>
          <w:kern w:val="0"/>
          <w:sz w:val="24"/>
          <w:highlight w:val="none"/>
        </w:rPr>
        <w:t>5000</w:t>
      </w:r>
      <w:r>
        <w:rPr>
          <w:rFonts w:ascii="Times New Roman" w:hAnsi="Times New Roman" w:eastAsia="宋体" w:cs="Times New Roman"/>
          <w:color w:val="auto"/>
          <w:kern w:val="0"/>
          <w:sz w:val="24"/>
          <w:highlight w:val="none"/>
        </w:rPr>
        <w:t>.00（大写：人民币</w:t>
      </w:r>
      <w:r>
        <w:rPr>
          <w:rFonts w:hint="eastAsia" w:ascii="Times New Roman" w:hAnsi="Times New Roman" w:eastAsia="宋体" w:cs="Times New Roman"/>
          <w:color w:val="auto"/>
          <w:kern w:val="0"/>
          <w:sz w:val="24"/>
          <w:highlight w:val="none"/>
        </w:rPr>
        <w:t>伍仟</w:t>
      </w:r>
      <w:r>
        <w:rPr>
          <w:rFonts w:ascii="Times New Roman" w:hAnsi="Times New Roman" w:eastAsia="宋体" w:cs="Times New Roman"/>
          <w:color w:val="auto"/>
          <w:kern w:val="0"/>
          <w:sz w:val="24"/>
          <w:highlight w:val="none"/>
        </w:rPr>
        <w:t>元整）。请自备信封，当场清点密封后递交。未成交供应商的保证金在评标结束后当场退还，成交供应商的保证金在合同签订后无息退还。未提交保证金不得参加本项目</w:t>
      </w:r>
      <w:r>
        <w:rPr>
          <w:rFonts w:hint="eastAsia" w:ascii="Times New Roman" w:hAnsi="Times New Roman" w:eastAsia="宋体" w:cs="Times New Roman"/>
          <w:color w:val="auto"/>
          <w:kern w:val="0"/>
          <w:sz w:val="24"/>
          <w:highlight w:val="none"/>
        </w:rPr>
        <w:t>磋商</w:t>
      </w:r>
      <w:r>
        <w:rPr>
          <w:rFonts w:ascii="Times New Roman" w:hAnsi="Times New Roman" w:eastAsia="宋体" w:cs="Times New Roman"/>
          <w:color w:val="auto"/>
          <w:kern w:val="0"/>
          <w:sz w:val="24"/>
          <w:highlight w:val="none"/>
        </w:rPr>
        <w:t>。</w:t>
      </w:r>
    </w:p>
    <w:p>
      <w:pPr>
        <w:pStyle w:val="4"/>
        <w:rPr>
          <w:rFonts w:ascii="Times New Roman" w:hAnsi="Times New Roman" w:eastAsia="宋体" w:cs="Times New Roman"/>
          <w:color w:val="auto"/>
          <w:highlight w:val="none"/>
        </w:rPr>
      </w:pPr>
      <w:bookmarkStart w:id="46" w:name="_Toc32235"/>
      <w:r>
        <w:rPr>
          <w:rFonts w:hint="eastAsia" w:ascii="Times New Roman" w:hAnsi="Times New Roman" w:eastAsia="宋体" w:cs="Times New Roman"/>
          <w:color w:val="auto"/>
          <w:highlight w:val="none"/>
        </w:rPr>
        <w:t>1.8疫情防控要求</w:t>
      </w:r>
      <w:bookmarkEnd w:id="46"/>
    </w:p>
    <w:p>
      <w:pPr>
        <w:spacing w:line="460" w:lineRule="exact"/>
        <w:ind w:firstLine="480" w:firstLineChars="200"/>
        <w:rPr>
          <w:rFonts w:ascii="Times New Roman" w:hAnsi="Times New Roman" w:eastAsia="宋体" w:cs="Times New Roman"/>
          <w:color w:val="auto"/>
          <w:kern w:val="0"/>
          <w:sz w:val="24"/>
          <w:highlight w:val="none"/>
        </w:rPr>
      </w:pPr>
      <w:r>
        <w:rPr>
          <w:rFonts w:hint="eastAsia" w:ascii="Times New Roman" w:hAnsi="Times New Roman" w:eastAsia="宋体" w:cs="Times New Roman"/>
          <w:color w:val="auto"/>
          <w:kern w:val="0"/>
          <w:sz w:val="24"/>
          <w:highlight w:val="none"/>
        </w:rPr>
        <w:t>响应供应商入楚参与磋商时，应严格按照楚雄州及学校新冠疫情防控要求应主动出示健康码绿码、已接种新冠疫苗、体温低于37.3℃，无发热、咳嗽等症状，并按要求佩戴口罩。响应供应商授权代理人现场递交响应文件时，一家供应商仅限1人。</w:t>
      </w:r>
    </w:p>
    <w:p>
      <w:pPr>
        <w:pStyle w:val="4"/>
        <w:tabs>
          <w:tab w:val="left" w:pos="3353"/>
        </w:tabs>
        <w:rPr>
          <w:rFonts w:ascii="Times New Roman" w:hAnsi="Times New Roman" w:eastAsia="宋体" w:cs="Times New Roman"/>
          <w:color w:val="auto"/>
          <w:highlight w:val="none"/>
        </w:rPr>
      </w:pPr>
      <w:bookmarkStart w:id="47" w:name="_Toc6445"/>
      <w:r>
        <w:rPr>
          <w:rFonts w:ascii="Times New Roman" w:hAnsi="Times New Roman" w:eastAsia="宋体" w:cs="Times New Roman"/>
          <w:color w:val="auto"/>
          <w:highlight w:val="none"/>
        </w:rPr>
        <w:t>1.</w:t>
      </w:r>
      <w:r>
        <w:rPr>
          <w:rFonts w:hint="eastAsia" w:ascii="Times New Roman" w:hAnsi="Times New Roman" w:eastAsia="宋体" w:cs="Times New Roman"/>
          <w:color w:val="auto"/>
          <w:highlight w:val="none"/>
        </w:rPr>
        <w:t>9</w:t>
      </w:r>
      <w:bookmarkEnd w:id="39"/>
      <w:bookmarkEnd w:id="40"/>
      <w:bookmarkEnd w:id="41"/>
      <w:bookmarkEnd w:id="42"/>
      <w:bookmarkEnd w:id="43"/>
      <w:bookmarkEnd w:id="44"/>
      <w:r>
        <w:rPr>
          <w:rFonts w:ascii="Times New Roman" w:hAnsi="Times New Roman" w:eastAsia="宋体" w:cs="Times New Roman"/>
          <w:color w:val="auto"/>
          <w:highlight w:val="none"/>
        </w:rPr>
        <w:t>联系方式</w:t>
      </w:r>
      <w:bookmarkEnd w:id="47"/>
    </w:p>
    <w:p>
      <w:pPr>
        <w:spacing w:line="460" w:lineRule="exact"/>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采购人</w:t>
      </w:r>
      <w:r>
        <w:rPr>
          <w:rFonts w:ascii="Times New Roman" w:hAnsi="Times New Roman" w:eastAsia="宋体" w:cs="Times New Roman"/>
          <w:color w:val="auto"/>
          <w:sz w:val="24"/>
          <w:highlight w:val="none"/>
        </w:rPr>
        <w:t>：</w:t>
      </w:r>
      <w:r>
        <w:rPr>
          <w:rFonts w:hint="eastAsia" w:ascii="Times New Roman" w:hAnsi="Times New Roman" w:eastAsia="宋体" w:cs="Times New Roman"/>
          <w:color w:val="auto"/>
          <w:sz w:val="24"/>
          <w:highlight w:val="none"/>
        </w:rPr>
        <w:t>楚雄医药高等专科学校各食堂餐饮管理服务机构及委托经营人</w:t>
      </w:r>
    </w:p>
    <w:p>
      <w:pPr>
        <w:spacing w:line="460" w:lineRule="exact"/>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地 址：楚雄市东瓜镇</w:t>
      </w:r>
    </w:p>
    <w:p>
      <w:pPr>
        <w:spacing w:line="460" w:lineRule="exact"/>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联系方式：</w:t>
      </w:r>
      <w:bookmarkStart w:id="48" w:name="_Toc28359009"/>
      <w:bookmarkStart w:id="49" w:name="_Toc28359086"/>
      <w:r>
        <w:rPr>
          <w:rFonts w:ascii="Times New Roman" w:hAnsi="Times New Roman" w:eastAsia="宋体" w:cs="Times New Roman"/>
          <w:color w:val="auto"/>
          <w:sz w:val="24"/>
          <w:highlight w:val="none"/>
        </w:rPr>
        <w:t>0878-3875679</w:t>
      </w:r>
    </w:p>
    <w:bookmarkEnd w:id="48"/>
    <w:bookmarkEnd w:id="49"/>
    <w:p>
      <w:pPr>
        <w:spacing w:line="460" w:lineRule="exact"/>
        <w:ind w:firstLine="480" w:firstLineChars="200"/>
        <w:rPr>
          <w:rFonts w:ascii="Times New Roman" w:hAnsi="Times New Roman" w:eastAsia="宋体" w:cs="Times New Roman"/>
          <w:color w:val="auto"/>
          <w:sz w:val="24"/>
          <w:highlight w:val="none"/>
        </w:rPr>
        <w:sectPr>
          <w:headerReference r:id="rId7" w:type="default"/>
          <w:footerReference r:id="rId8" w:type="default"/>
          <w:pgSz w:w="11906" w:h="16838"/>
          <w:pgMar w:top="1418" w:right="1134" w:bottom="1134" w:left="1417" w:header="936" w:footer="720" w:gutter="0"/>
          <w:cols w:space="720" w:num="1"/>
          <w:docGrid w:linePitch="331" w:charSpace="0"/>
        </w:sectPr>
      </w:pPr>
      <w:r>
        <w:rPr>
          <w:rFonts w:ascii="Times New Roman" w:hAnsi="Times New Roman" w:eastAsia="宋体" w:cs="Times New Roman"/>
          <w:color w:val="auto"/>
          <w:sz w:val="24"/>
          <w:highlight w:val="none"/>
        </w:rPr>
        <w:t>联系人：</w:t>
      </w:r>
      <w:r>
        <w:rPr>
          <w:rFonts w:hint="eastAsia" w:ascii="Times New Roman" w:hAnsi="Times New Roman" w:eastAsia="宋体" w:cs="Times New Roman"/>
          <w:color w:val="auto"/>
          <w:sz w:val="24"/>
          <w:highlight w:val="none"/>
        </w:rPr>
        <w:t>杨</w:t>
      </w:r>
      <w:r>
        <w:rPr>
          <w:rFonts w:ascii="Times New Roman" w:hAnsi="Times New Roman" w:eastAsia="宋体" w:cs="Times New Roman"/>
          <w:color w:val="auto"/>
          <w:sz w:val="24"/>
          <w:highlight w:val="none"/>
        </w:rPr>
        <w:t>老师</w:t>
      </w:r>
      <w:r>
        <w:rPr>
          <w:rFonts w:hint="eastAsia" w:ascii="Times New Roman" w:hAnsi="Times New Roman" w:eastAsia="宋体" w:cs="Times New Roman"/>
          <w:color w:val="auto"/>
          <w:sz w:val="24"/>
          <w:highlight w:val="none"/>
        </w:rPr>
        <w:t xml:space="preserve">  </w:t>
      </w:r>
      <w:r>
        <w:rPr>
          <w:rFonts w:ascii="Times New Roman" w:hAnsi="Times New Roman" w:eastAsia="宋体" w:cs="Times New Roman"/>
          <w:color w:val="auto"/>
          <w:sz w:val="24"/>
          <w:highlight w:val="none"/>
        </w:rPr>
        <w:t xml:space="preserve"> </w:t>
      </w:r>
    </w:p>
    <w:p>
      <w:pPr>
        <w:pStyle w:val="3"/>
        <w:jc w:val="center"/>
        <w:rPr>
          <w:rFonts w:ascii="宋体" w:hAnsi="宋体" w:eastAsia="宋体" w:cs="宋体"/>
          <w:color w:val="auto"/>
          <w:highlight w:val="none"/>
        </w:rPr>
      </w:pPr>
      <w:bookmarkStart w:id="50" w:name="_Toc25948_WPSOffice_Level1"/>
      <w:bookmarkStart w:id="51" w:name="_Toc60996675"/>
      <w:bookmarkStart w:id="52" w:name="_Toc4357"/>
      <w:bookmarkStart w:id="53" w:name="_第二章__投标人须知"/>
      <w:r>
        <w:rPr>
          <w:rFonts w:ascii="Times New Roman" w:hAnsi="Times New Roman" w:eastAsia="宋体" w:cs="Times New Roman"/>
          <w:color w:val="auto"/>
          <w:highlight w:val="none"/>
        </w:rPr>
        <w:t>第二章</w:t>
      </w:r>
      <w:bookmarkEnd w:id="50"/>
      <w:bookmarkEnd w:id="51"/>
      <w:r>
        <w:rPr>
          <w:rFonts w:ascii="Times New Roman" w:hAnsi="Times New Roman" w:eastAsia="宋体" w:cs="Times New Roman"/>
          <w:color w:val="auto"/>
          <w:highlight w:val="none"/>
        </w:rPr>
        <w:t xml:space="preserve">   供应商须知</w:t>
      </w:r>
      <w:bookmarkEnd w:id="52"/>
    </w:p>
    <w:p>
      <w:pPr>
        <w:rPr>
          <w:rFonts w:ascii="宋体" w:hAnsi="宋体" w:eastAsia="宋体" w:cs="宋体"/>
          <w:color w:val="auto"/>
          <w:kern w:val="0"/>
          <w:sz w:val="24"/>
          <w:highlight w:val="none"/>
        </w:rPr>
      </w:pPr>
      <w:r>
        <w:rPr>
          <w:rFonts w:hint="eastAsia" w:ascii="宋体" w:hAnsi="宋体" w:eastAsia="宋体" w:cs="宋体"/>
          <w:color w:val="auto"/>
          <w:kern w:val="0"/>
          <w:sz w:val="24"/>
          <w:highlight w:val="none"/>
        </w:rPr>
        <w:t xml:space="preserve">                            供应商须知前附表</w:t>
      </w:r>
    </w:p>
    <w:tbl>
      <w:tblPr>
        <w:tblStyle w:val="22"/>
        <w:tblW w:w="90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43"/>
        <w:gridCol w:w="6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blHeader/>
        </w:trPr>
        <w:tc>
          <w:tcPr>
            <w:tcW w:w="709" w:type="dxa"/>
            <w:tcBorders>
              <w:top w:val="thinThickSmallGap" w:color="auto" w:sz="18" w:space="0"/>
              <w:left w:val="thinThickSmallGap" w:color="auto" w:sz="18" w:space="0"/>
            </w:tcBorders>
            <w:noWrap/>
            <w:vAlign w:val="center"/>
          </w:tcPr>
          <w:p>
            <w:pPr>
              <w:spacing w:line="300" w:lineRule="exact"/>
              <w:jc w:val="center"/>
              <w:rPr>
                <w:rFonts w:ascii="Times New Roman" w:hAnsi="Times New Roman" w:eastAsia="宋体" w:cs="Times New Roman"/>
                <w:color w:val="auto"/>
                <w:kern w:val="0"/>
                <w:szCs w:val="21"/>
                <w:highlight w:val="none"/>
              </w:rPr>
            </w:pPr>
            <w:r>
              <w:rPr>
                <w:rFonts w:ascii="Times New Roman" w:hAnsi="Times New Roman" w:eastAsia="宋体" w:cs="Times New Roman"/>
                <w:color w:val="auto"/>
                <w:kern w:val="0"/>
                <w:szCs w:val="21"/>
                <w:highlight w:val="none"/>
              </w:rPr>
              <w:t>序号</w:t>
            </w:r>
          </w:p>
        </w:tc>
        <w:tc>
          <w:tcPr>
            <w:tcW w:w="1843" w:type="dxa"/>
            <w:tcBorders>
              <w:top w:val="thinThickSmallGap" w:color="auto" w:sz="18" w:space="0"/>
            </w:tcBorders>
            <w:noWrap/>
            <w:vAlign w:val="center"/>
          </w:tcPr>
          <w:p>
            <w:pPr>
              <w:spacing w:line="300" w:lineRule="exact"/>
              <w:jc w:val="center"/>
              <w:rPr>
                <w:rFonts w:ascii="Times New Roman" w:hAnsi="Times New Roman" w:eastAsia="宋体" w:cs="Times New Roman"/>
                <w:color w:val="auto"/>
                <w:kern w:val="0"/>
                <w:szCs w:val="21"/>
                <w:highlight w:val="none"/>
              </w:rPr>
            </w:pPr>
            <w:r>
              <w:rPr>
                <w:rFonts w:ascii="Times New Roman" w:hAnsi="Times New Roman" w:eastAsia="宋体" w:cs="Times New Roman"/>
                <w:color w:val="auto"/>
                <w:kern w:val="0"/>
                <w:szCs w:val="21"/>
                <w:highlight w:val="none"/>
              </w:rPr>
              <w:t>项目名称</w:t>
            </w:r>
          </w:p>
        </w:tc>
        <w:tc>
          <w:tcPr>
            <w:tcW w:w="6520" w:type="dxa"/>
            <w:tcBorders>
              <w:top w:val="thinThickSmallGap" w:color="auto" w:sz="18" w:space="0"/>
              <w:right w:val="thickThinSmallGap" w:color="auto" w:sz="18" w:space="0"/>
            </w:tcBorders>
            <w:noWrap/>
            <w:vAlign w:val="center"/>
          </w:tcPr>
          <w:p>
            <w:pPr>
              <w:spacing w:line="300" w:lineRule="exact"/>
              <w:jc w:val="center"/>
              <w:rPr>
                <w:rFonts w:ascii="Times New Roman" w:hAnsi="Times New Roman" w:eastAsia="宋体" w:cs="Times New Roman"/>
                <w:color w:val="auto"/>
                <w:kern w:val="0"/>
                <w:szCs w:val="21"/>
                <w:highlight w:val="none"/>
              </w:rPr>
            </w:pPr>
            <w:r>
              <w:rPr>
                <w:rFonts w:ascii="Times New Roman" w:hAnsi="Times New Roman" w:eastAsia="宋体" w:cs="Times New Roman"/>
                <w:color w:val="auto"/>
                <w:kern w:val="0"/>
                <w:szCs w:val="21"/>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color w:val="auto"/>
                <w:kern w:val="0"/>
                <w:szCs w:val="21"/>
                <w:highlight w:val="none"/>
              </w:rPr>
            </w:pPr>
            <w:r>
              <w:rPr>
                <w:rFonts w:ascii="Times New Roman" w:hAnsi="Times New Roman" w:eastAsia="宋体" w:cs="Times New Roman"/>
                <w:color w:val="auto"/>
                <w:kern w:val="0"/>
                <w:szCs w:val="21"/>
                <w:highlight w:val="none"/>
              </w:rPr>
              <w:t>1</w:t>
            </w:r>
          </w:p>
        </w:tc>
        <w:tc>
          <w:tcPr>
            <w:tcW w:w="1843" w:type="dxa"/>
            <w:noWrap/>
            <w:vAlign w:val="center"/>
          </w:tcPr>
          <w:p>
            <w:pPr>
              <w:spacing w:line="300" w:lineRule="exact"/>
              <w:jc w:val="center"/>
              <w:rPr>
                <w:rFonts w:hint="eastAsia" w:ascii="Times New Roman" w:hAnsi="Times New Roman" w:eastAsia="宋体" w:cs="Times New Roman"/>
                <w:color w:val="auto"/>
                <w:kern w:val="0"/>
                <w:szCs w:val="21"/>
                <w:highlight w:val="none"/>
                <w:lang w:val="en-US" w:eastAsia="zh-CN"/>
              </w:rPr>
            </w:pPr>
            <w:r>
              <w:rPr>
                <w:rFonts w:ascii="Times New Roman" w:hAnsi="Times New Roman" w:eastAsia="宋体" w:cs="Times New Roman"/>
                <w:color w:val="auto"/>
                <w:kern w:val="0"/>
                <w:szCs w:val="21"/>
                <w:highlight w:val="none"/>
              </w:rPr>
              <w:t>采购</w:t>
            </w:r>
            <w:r>
              <w:rPr>
                <w:rFonts w:hint="eastAsia" w:ascii="Times New Roman" w:hAnsi="Times New Roman" w:eastAsia="宋体" w:cs="Times New Roman"/>
                <w:color w:val="auto"/>
                <w:kern w:val="0"/>
                <w:szCs w:val="21"/>
                <w:highlight w:val="none"/>
                <w:lang w:val="en-US" w:eastAsia="zh-CN"/>
              </w:rPr>
              <w:t>人</w:t>
            </w:r>
          </w:p>
        </w:tc>
        <w:tc>
          <w:tcPr>
            <w:tcW w:w="6520" w:type="dxa"/>
            <w:tcBorders>
              <w:right w:val="thickThinSmallGap" w:color="auto" w:sz="18" w:space="0"/>
            </w:tcBorders>
            <w:noWrap/>
            <w:vAlign w:val="center"/>
          </w:tcPr>
          <w:p>
            <w:pPr>
              <w:adjustRightInd w:val="0"/>
              <w:snapToGrid w:val="0"/>
              <w:spacing w:beforeLines="50" w:line="360" w:lineRule="auto"/>
              <w:rPr>
                <w:color w:val="auto"/>
                <w:highlight w:val="none"/>
              </w:rPr>
            </w:pPr>
            <w:r>
              <w:rPr>
                <w:rFonts w:hint="eastAsia"/>
                <w:color w:val="auto"/>
                <w:highlight w:val="none"/>
              </w:rPr>
              <w:t>楚雄医药高等专科学校各食堂餐饮管理服务机构及委托经营人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color w:val="auto"/>
                <w:kern w:val="0"/>
                <w:szCs w:val="21"/>
                <w:highlight w:val="none"/>
              </w:rPr>
            </w:pPr>
            <w:r>
              <w:rPr>
                <w:rFonts w:ascii="Times New Roman" w:hAnsi="Times New Roman" w:eastAsia="宋体" w:cs="Times New Roman"/>
                <w:color w:val="auto"/>
                <w:kern w:val="0"/>
                <w:szCs w:val="21"/>
                <w:highlight w:val="none"/>
              </w:rPr>
              <w:t>2</w:t>
            </w:r>
          </w:p>
        </w:tc>
        <w:tc>
          <w:tcPr>
            <w:tcW w:w="1843" w:type="dxa"/>
            <w:noWrap/>
            <w:vAlign w:val="center"/>
          </w:tcPr>
          <w:p>
            <w:pPr>
              <w:spacing w:line="300" w:lineRule="exact"/>
              <w:jc w:val="center"/>
              <w:rPr>
                <w:rFonts w:hint="eastAsia" w:ascii="Times New Roman" w:hAnsi="Times New Roman" w:eastAsia="宋体" w:cs="Times New Roman"/>
                <w:color w:val="auto"/>
                <w:kern w:val="0"/>
                <w:szCs w:val="21"/>
                <w:highlight w:val="none"/>
                <w:lang w:val="en-US" w:eastAsia="zh-CN"/>
              </w:rPr>
            </w:pPr>
            <w:r>
              <w:rPr>
                <w:rFonts w:ascii="Times New Roman" w:hAnsi="Times New Roman" w:eastAsia="宋体" w:cs="Times New Roman"/>
                <w:color w:val="auto"/>
                <w:kern w:val="0"/>
                <w:szCs w:val="21"/>
                <w:highlight w:val="none"/>
              </w:rPr>
              <w:t>采购代理</w:t>
            </w:r>
            <w:r>
              <w:rPr>
                <w:rFonts w:hint="eastAsia" w:ascii="Times New Roman" w:hAnsi="Times New Roman" w:eastAsia="宋体" w:cs="Times New Roman"/>
                <w:color w:val="auto"/>
                <w:kern w:val="0"/>
                <w:szCs w:val="21"/>
                <w:highlight w:val="none"/>
                <w:lang w:val="en-US" w:eastAsia="zh-CN"/>
              </w:rPr>
              <w:t>部门</w:t>
            </w:r>
          </w:p>
        </w:tc>
        <w:tc>
          <w:tcPr>
            <w:tcW w:w="6520" w:type="dxa"/>
            <w:tcBorders>
              <w:right w:val="thickThinSmallGap" w:color="auto" w:sz="18" w:space="0"/>
            </w:tcBorders>
            <w:noWrap/>
            <w:vAlign w:val="center"/>
          </w:tcPr>
          <w:p>
            <w:pPr>
              <w:spacing w:line="460" w:lineRule="exact"/>
              <w:jc w:val="left"/>
              <w:rPr>
                <w:rFonts w:hint="eastAsia" w:ascii="Times New Roman" w:hAnsi="Times New Roman" w:cs="Times New Roman" w:eastAsiaTheme="minorEastAsia"/>
                <w:color w:val="auto"/>
                <w:szCs w:val="21"/>
                <w:highlight w:val="none"/>
                <w:lang w:val="en-US" w:eastAsia="zh-CN"/>
              </w:rPr>
            </w:pPr>
            <w:r>
              <w:rPr>
                <w:rFonts w:hint="eastAsia"/>
                <w:color w:val="auto"/>
                <w:highlight w:val="none"/>
              </w:rPr>
              <w:t>楚雄医药高等专科学校</w:t>
            </w:r>
            <w:r>
              <w:rPr>
                <w:rFonts w:hint="eastAsia"/>
                <w:color w:val="auto"/>
                <w:highlight w:val="none"/>
                <w:lang w:val="en-US" w:eastAsia="zh-CN"/>
              </w:rPr>
              <w:t>保卫处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color w:val="auto"/>
                <w:kern w:val="0"/>
                <w:szCs w:val="21"/>
                <w:highlight w:val="none"/>
              </w:rPr>
            </w:pPr>
            <w:r>
              <w:rPr>
                <w:rFonts w:ascii="Times New Roman" w:hAnsi="Times New Roman" w:eastAsia="宋体" w:cs="Times New Roman"/>
                <w:color w:val="auto"/>
                <w:kern w:val="0"/>
                <w:szCs w:val="21"/>
                <w:highlight w:val="none"/>
              </w:rPr>
              <w:t>3</w:t>
            </w:r>
          </w:p>
        </w:tc>
        <w:tc>
          <w:tcPr>
            <w:tcW w:w="1843" w:type="dxa"/>
            <w:noWrap/>
            <w:vAlign w:val="center"/>
          </w:tcPr>
          <w:p>
            <w:pPr>
              <w:spacing w:line="300" w:lineRule="exact"/>
              <w:jc w:val="center"/>
              <w:rPr>
                <w:rFonts w:ascii="Times New Roman" w:hAnsi="Times New Roman" w:eastAsia="宋体" w:cs="Times New Roman"/>
                <w:color w:val="auto"/>
                <w:kern w:val="0"/>
                <w:szCs w:val="21"/>
                <w:highlight w:val="none"/>
              </w:rPr>
            </w:pPr>
            <w:r>
              <w:rPr>
                <w:rFonts w:ascii="Times New Roman" w:hAnsi="Times New Roman" w:eastAsia="宋体" w:cs="Times New Roman"/>
                <w:color w:val="auto"/>
                <w:kern w:val="0"/>
                <w:szCs w:val="21"/>
                <w:highlight w:val="none"/>
              </w:rPr>
              <w:t>项目名称</w:t>
            </w:r>
          </w:p>
        </w:tc>
        <w:tc>
          <w:tcPr>
            <w:tcW w:w="6520" w:type="dxa"/>
            <w:tcBorders>
              <w:right w:val="thickThinSmallGap" w:color="auto" w:sz="18" w:space="0"/>
            </w:tcBorders>
            <w:noWrap/>
            <w:vAlign w:val="center"/>
          </w:tcPr>
          <w:p>
            <w:pPr>
              <w:spacing w:line="300" w:lineRule="exact"/>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楚雄医药高等专科学校食堂餐具洗消间服务采购项目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color w:val="auto"/>
                <w:kern w:val="0"/>
                <w:szCs w:val="21"/>
                <w:highlight w:val="none"/>
              </w:rPr>
            </w:pPr>
            <w:r>
              <w:rPr>
                <w:rFonts w:ascii="Times New Roman" w:hAnsi="Times New Roman" w:eastAsia="宋体" w:cs="Times New Roman"/>
                <w:color w:val="auto"/>
                <w:kern w:val="0"/>
                <w:szCs w:val="21"/>
                <w:highlight w:val="none"/>
              </w:rPr>
              <w:t>4</w:t>
            </w:r>
          </w:p>
        </w:tc>
        <w:tc>
          <w:tcPr>
            <w:tcW w:w="1843" w:type="dxa"/>
            <w:noWrap/>
            <w:vAlign w:val="center"/>
          </w:tcPr>
          <w:p>
            <w:pPr>
              <w:spacing w:line="300" w:lineRule="exact"/>
              <w:jc w:val="center"/>
              <w:rPr>
                <w:rFonts w:ascii="Times New Roman" w:hAnsi="Times New Roman" w:eastAsia="宋体" w:cs="Times New Roman"/>
                <w:color w:val="auto"/>
                <w:kern w:val="0"/>
                <w:szCs w:val="21"/>
                <w:highlight w:val="none"/>
              </w:rPr>
            </w:pPr>
            <w:r>
              <w:rPr>
                <w:rFonts w:ascii="Times New Roman" w:hAnsi="Times New Roman" w:eastAsia="宋体" w:cs="Times New Roman"/>
                <w:color w:val="auto"/>
                <w:kern w:val="0"/>
                <w:szCs w:val="21"/>
                <w:highlight w:val="none"/>
              </w:rPr>
              <w:t>项目编号</w:t>
            </w:r>
          </w:p>
        </w:tc>
        <w:tc>
          <w:tcPr>
            <w:tcW w:w="6520" w:type="dxa"/>
            <w:tcBorders>
              <w:right w:val="thickThinSmallGap" w:color="auto" w:sz="18" w:space="0"/>
            </w:tcBorders>
            <w:noWrap/>
            <w:vAlign w:val="center"/>
          </w:tcPr>
          <w:p>
            <w:pPr>
              <w:spacing w:line="460" w:lineRule="exact"/>
              <w:rPr>
                <w:rFonts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CXYZC【2023】第</w:t>
            </w:r>
            <w:r>
              <w:rPr>
                <w:rFonts w:hint="default" w:ascii="Times New Roman" w:hAnsi="Times New Roman" w:eastAsia="宋体" w:cs="Times New Roman"/>
                <w:color w:val="auto"/>
                <w:szCs w:val="21"/>
                <w:highlight w:val="none"/>
                <w:lang w:val="en-US" w:eastAsia="zh-CN"/>
              </w:rPr>
              <w:t>1</w:t>
            </w:r>
            <w:r>
              <w:rPr>
                <w:rFonts w:hint="default" w:ascii="Times New Roman" w:hAnsi="Times New Roman" w:eastAsia="宋体" w:cs="Times New Roman"/>
                <w:color w:val="auto"/>
                <w:szCs w:val="21"/>
                <w:highlight w:val="none"/>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color w:val="auto"/>
                <w:kern w:val="0"/>
                <w:szCs w:val="21"/>
                <w:highlight w:val="none"/>
              </w:rPr>
            </w:pPr>
            <w:r>
              <w:rPr>
                <w:rFonts w:ascii="Times New Roman" w:hAnsi="Times New Roman" w:eastAsia="宋体" w:cs="Times New Roman"/>
                <w:color w:val="auto"/>
                <w:kern w:val="0"/>
                <w:szCs w:val="21"/>
                <w:highlight w:val="none"/>
              </w:rPr>
              <w:t>5</w:t>
            </w:r>
          </w:p>
        </w:tc>
        <w:tc>
          <w:tcPr>
            <w:tcW w:w="1843" w:type="dxa"/>
            <w:noWrap/>
            <w:vAlign w:val="center"/>
          </w:tcPr>
          <w:p>
            <w:pPr>
              <w:spacing w:line="300" w:lineRule="exact"/>
              <w:jc w:val="center"/>
              <w:rPr>
                <w:color w:val="auto"/>
                <w:highlight w:val="none"/>
              </w:rPr>
            </w:pPr>
            <w:r>
              <w:rPr>
                <w:color w:val="auto"/>
                <w:highlight w:val="none"/>
              </w:rPr>
              <w:t>采购预算</w:t>
            </w:r>
            <w:r>
              <w:rPr>
                <w:rFonts w:hint="eastAsia"/>
                <w:color w:val="auto"/>
                <w:highlight w:val="none"/>
              </w:rPr>
              <w:t>（最高限价）</w:t>
            </w:r>
          </w:p>
        </w:tc>
        <w:tc>
          <w:tcPr>
            <w:tcW w:w="6520" w:type="dxa"/>
            <w:tcBorders>
              <w:right w:val="thickThinSmallGap" w:color="auto" w:sz="18" w:space="0"/>
            </w:tcBorders>
            <w:noWrap/>
            <w:vAlign w:val="center"/>
          </w:tcPr>
          <w:p>
            <w:pPr>
              <w:spacing w:line="400" w:lineRule="exact"/>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4</w:t>
            </w:r>
            <w:r>
              <w:rPr>
                <w:rFonts w:hint="eastAsia" w:ascii="Times New Roman" w:hAnsi="Times New Roman" w:eastAsia="宋体" w:cs="Times New Roman"/>
                <w:color w:val="auto"/>
                <w:szCs w:val="21"/>
                <w:highlight w:val="none"/>
                <w:lang w:val="en-US" w:eastAsia="zh-CN"/>
              </w:rPr>
              <w:t>6</w:t>
            </w:r>
            <w:r>
              <w:rPr>
                <w:rFonts w:hint="eastAsia" w:ascii="Times New Roman" w:hAnsi="Times New Roman" w:eastAsia="宋体" w:cs="Times New Roman"/>
                <w:color w:val="auto"/>
                <w:szCs w:val="21"/>
                <w:highlight w:val="none"/>
              </w:rPr>
              <w:t>.00万元/年（大写：</w:t>
            </w:r>
            <w:r>
              <w:rPr>
                <w:rFonts w:hint="eastAsia" w:ascii="Times New Roman" w:hAnsi="Times New Roman" w:eastAsia="宋体" w:cs="Times New Roman"/>
                <w:color w:val="auto"/>
                <w:szCs w:val="21"/>
                <w:highlight w:val="none"/>
                <w:lang w:val="en-US" w:eastAsia="zh-CN"/>
              </w:rPr>
              <w:t>肆拾陆万</w:t>
            </w:r>
            <w:r>
              <w:rPr>
                <w:rFonts w:hint="eastAsia" w:ascii="Times New Roman" w:hAnsi="Times New Roman" w:eastAsia="宋体" w:cs="Times New Roman"/>
                <w:color w:val="auto"/>
                <w:szCs w:val="21"/>
                <w:highlight w:val="none"/>
              </w:rPr>
              <w:t>元整）（每年以10个月计算）。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color w:val="auto"/>
                <w:kern w:val="0"/>
                <w:szCs w:val="21"/>
                <w:highlight w:val="none"/>
              </w:rPr>
            </w:pPr>
            <w:r>
              <w:rPr>
                <w:rFonts w:hint="eastAsia" w:ascii="Times New Roman" w:hAnsi="Times New Roman" w:eastAsia="宋体" w:cs="Times New Roman"/>
                <w:color w:val="auto"/>
                <w:kern w:val="0"/>
                <w:szCs w:val="21"/>
                <w:highlight w:val="none"/>
              </w:rPr>
              <w:t>6</w:t>
            </w:r>
          </w:p>
        </w:tc>
        <w:tc>
          <w:tcPr>
            <w:tcW w:w="1843" w:type="dxa"/>
            <w:noWrap/>
            <w:vAlign w:val="center"/>
          </w:tcPr>
          <w:p>
            <w:pPr>
              <w:spacing w:line="300" w:lineRule="exact"/>
              <w:jc w:val="center"/>
              <w:rPr>
                <w:rFonts w:ascii="Times New Roman" w:hAnsi="Times New Roman" w:eastAsia="宋体" w:cs="Times New Roman"/>
                <w:color w:val="auto"/>
                <w:kern w:val="0"/>
                <w:szCs w:val="21"/>
                <w:highlight w:val="none"/>
              </w:rPr>
            </w:pPr>
            <w:r>
              <w:rPr>
                <w:rFonts w:ascii="Times New Roman" w:hAnsi="Times New Roman" w:eastAsia="宋体" w:cs="Times New Roman"/>
                <w:color w:val="auto"/>
                <w:kern w:val="0"/>
                <w:szCs w:val="21"/>
                <w:highlight w:val="none"/>
              </w:rPr>
              <w:t>采购内容</w:t>
            </w:r>
          </w:p>
        </w:tc>
        <w:tc>
          <w:tcPr>
            <w:tcW w:w="6520" w:type="dxa"/>
            <w:tcBorders>
              <w:right w:val="thickThinSmallGap" w:color="auto" w:sz="18" w:space="0"/>
            </w:tcBorders>
            <w:noWrap/>
            <w:vAlign w:val="center"/>
          </w:tcPr>
          <w:p>
            <w:pPr>
              <w:spacing w:line="300" w:lineRule="exact"/>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lang w:val="en-US" w:eastAsia="zh-CN"/>
              </w:rPr>
              <w:t>成交</w:t>
            </w:r>
            <w:r>
              <w:rPr>
                <w:rFonts w:hint="eastAsia" w:ascii="Times New Roman" w:hAnsi="Times New Roman" w:eastAsia="宋体" w:cs="Times New Roman"/>
                <w:color w:val="auto"/>
                <w:szCs w:val="21"/>
                <w:highlight w:val="none"/>
              </w:rPr>
              <w:t>服务商须统一着装，对我校食堂洗消间提供餐具清洗消毒服务；承担餐具损耗补新；洗消用品，餐具推车维护、维修；洗消间设备设施日常维修、维护、更换；餐具收集桶更换；装碗箱破损添补等服务内容。确保餐具干净、卫生、安全，并定期送检且符合检测标准。承担工作人员每年意外伤害保险（个人保费赔偿金额不得低于80.00万元），详见第五章“采购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color w:val="auto"/>
                <w:kern w:val="0"/>
                <w:szCs w:val="21"/>
                <w:highlight w:val="none"/>
              </w:rPr>
            </w:pPr>
            <w:r>
              <w:rPr>
                <w:rFonts w:hint="eastAsia" w:ascii="Times New Roman" w:hAnsi="Times New Roman" w:eastAsia="宋体" w:cs="Times New Roman"/>
                <w:color w:val="auto"/>
                <w:kern w:val="0"/>
                <w:szCs w:val="21"/>
                <w:highlight w:val="none"/>
              </w:rPr>
              <w:t>7</w:t>
            </w:r>
          </w:p>
        </w:tc>
        <w:tc>
          <w:tcPr>
            <w:tcW w:w="1843" w:type="dxa"/>
            <w:noWrap/>
            <w:vAlign w:val="center"/>
          </w:tcPr>
          <w:p>
            <w:pPr>
              <w:spacing w:line="300" w:lineRule="exact"/>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服务</w:t>
            </w:r>
            <w:r>
              <w:rPr>
                <w:rFonts w:ascii="Times New Roman" w:hAnsi="Times New Roman" w:eastAsia="宋体" w:cs="Times New Roman"/>
                <w:color w:val="auto"/>
                <w:szCs w:val="21"/>
                <w:highlight w:val="none"/>
              </w:rPr>
              <w:t>期限</w:t>
            </w:r>
          </w:p>
        </w:tc>
        <w:tc>
          <w:tcPr>
            <w:tcW w:w="6520" w:type="dxa"/>
            <w:tcBorders>
              <w:right w:val="thickThinSmallGap" w:color="auto" w:sz="18" w:space="0"/>
            </w:tcBorders>
            <w:noWrap/>
            <w:vAlign w:val="center"/>
          </w:tcPr>
          <w:p>
            <w:pPr>
              <w:spacing w:line="400" w:lineRule="exact"/>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3年，合同一年一签。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color w:val="auto"/>
                <w:kern w:val="0"/>
                <w:szCs w:val="21"/>
                <w:highlight w:val="none"/>
              </w:rPr>
            </w:pPr>
            <w:r>
              <w:rPr>
                <w:rFonts w:hint="eastAsia" w:ascii="Times New Roman" w:hAnsi="Times New Roman" w:eastAsia="宋体" w:cs="Times New Roman"/>
                <w:color w:val="auto"/>
                <w:kern w:val="0"/>
                <w:szCs w:val="21"/>
                <w:highlight w:val="none"/>
              </w:rPr>
              <w:t>8</w:t>
            </w:r>
          </w:p>
        </w:tc>
        <w:tc>
          <w:tcPr>
            <w:tcW w:w="1843" w:type="dxa"/>
            <w:noWrap/>
            <w:vAlign w:val="center"/>
          </w:tcPr>
          <w:p>
            <w:pPr>
              <w:jc w:val="center"/>
              <w:rPr>
                <w:rFonts w:ascii="Times New Roman" w:hAnsi="Times New Roman" w:cs="Times New Roman"/>
                <w:color w:val="auto"/>
                <w:szCs w:val="21"/>
                <w:highlight w:val="none"/>
              </w:rPr>
            </w:pPr>
            <w:r>
              <w:rPr>
                <w:rFonts w:hint="eastAsia" w:ascii="Times New Roman" w:hAnsi="Times New Roman" w:cs="Times New Roman"/>
                <w:color w:val="auto"/>
                <w:szCs w:val="21"/>
                <w:highlight w:val="none"/>
              </w:rPr>
              <w:t>服务</w:t>
            </w:r>
            <w:r>
              <w:rPr>
                <w:rFonts w:ascii="Times New Roman" w:hAnsi="Times New Roman" w:cs="Times New Roman"/>
                <w:color w:val="auto"/>
                <w:szCs w:val="21"/>
                <w:highlight w:val="none"/>
              </w:rPr>
              <w:t>地点</w:t>
            </w:r>
          </w:p>
        </w:tc>
        <w:tc>
          <w:tcPr>
            <w:tcW w:w="6520" w:type="dxa"/>
            <w:tcBorders>
              <w:right w:val="thickThinSmallGap" w:color="auto" w:sz="18" w:space="0"/>
            </w:tcBorders>
            <w:noWrap/>
            <w:vAlign w:val="center"/>
          </w:tcPr>
          <w:p>
            <w:pPr>
              <w:spacing w:line="276" w:lineRule="auto"/>
              <w:jc w:val="left"/>
              <w:rPr>
                <w:rFonts w:ascii="Times New Roman" w:hAnsi="Times New Roman" w:cs="Times New Roman"/>
                <w:color w:val="auto"/>
                <w:szCs w:val="21"/>
                <w:highlight w:val="none"/>
              </w:rPr>
            </w:pPr>
            <w:r>
              <w:rPr>
                <w:rFonts w:hint="eastAsia" w:ascii="Times New Roman" w:hAnsi="Times New Roman" w:eastAsia="宋体" w:cs="Times New Roman"/>
                <w:color w:val="auto"/>
                <w:szCs w:val="21"/>
                <w:highlight w:val="none"/>
              </w:rPr>
              <w:t>采购人指定的地点。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color w:val="auto"/>
                <w:kern w:val="0"/>
                <w:szCs w:val="21"/>
                <w:highlight w:val="none"/>
              </w:rPr>
            </w:pPr>
            <w:r>
              <w:rPr>
                <w:rFonts w:hint="eastAsia" w:ascii="Times New Roman" w:hAnsi="Times New Roman" w:eastAsia="宋体" w:cs="Times New Roman"/>
                <w:color w:val="auto"/>
                <w:kern w:val="0"/>
                <w:szCs w:val="21"/>
                <w:highlight w:val="none"/>
              </w:rPr>
              <w:t>9</w:t>
            </w:r>
          </w:p>
        </w:tc>
        <w:tc>
          <w:tcPr>
            <w:tcW w:w="1843" w:type="dxa"/>
            <w:noWrap/>
            <w:vAlign w:val="center"/>
          </w:tcPr>
          <w:p>
            <w:pPr>
              <w:spacing w:line="300" w:lineRule="exact"/>
              <w:jc w:val="center"/>
              <w:rPr>
                <w:rFonts w:ascii="Times New Roman" w:hAnsi="Times New Roman" w:eastAsia="宋体" w:cs="Times New Roman"/>
                <w:color w:val="auto"/>
                <w:kern w:val="0"/>
                <w:szCs w:val="21"/>
                <w:highlight w:val="none"/>
              </w:rPr>
            </w:pPr>
            <w:r>
              <w:rPr>
                <w:rFonts w:ascii="Times New Roman" w:hAnsi="Times New Roman" w:eastAsia="宋体" w:cs="Times New Roman"/>
                <w:color w:val="auto"/>
                <w:kern w:val="0"/>
                <w:szCs w:val="21"/>
                <w:highlight w:val="none"/>
              </w:rPr>
              <w:t>供应商资格要求</w:t>
            </w:r>
          </w:p>
        </w:tc>
        <w:tc>
          <w:tcPr>
            <w:tcW w:w="6520" w:type="dxa"/>
            <w:tcBorders>
              <w:right w:val="thickThinSmallGap" w:color="auto" w:sz="18" w:space="0"/>
            </w:tcBorders>
            <w:noWrap/>
            <w:vAlign w:val="center"/>
          </w:tcPr>
          <w:p>
            <w:pPr>
              <w:spacing w:line="400" w:lineRule="exact"/>
              <w:rPr>
                <w:rFonts w:hint="eastAsia" w:ascii="Times New Roman" w:hAnsi="Times New Roman" w:eastAsia="宋体" w:cs="Times New Roman"/>
                <w:color w:val="auto"/>
                <w:szCs w:val="21"/>
                <w:highlight w:val="none"/>
                <w:lang w:eastAsia="zh-CN"/>
              </w:rPr>
            </w:pPr>
            <w:r>
              <w:rPr>
                <w:rFonts w:ascii="Times New Roman" w:hAnsi="Times New Roman" w:eastAsia="宋体" w:cs="Times New Roman"/>
                <w:color w:val="auto"/>
                <w:szCs w:val="21"/>
                <w:highlight w:val="none"/>
              </w:rPr>
              <w:t>1</w:t>
            </w:r>
            <w:r>
              <w:rPr>
                <w:rFonts w:hint="eastAsia" w:ascii="Times New Roman" w:hAnsi="Times New Roman" w:eastAsia="宋体" w:cs="Times New Roman"/>
                <w:color w:val="auto"/>
                <w:szCs w:val="21"/>
                <w:highlight w:val="none"/>
              </w:rPr>
              <w:t>、满足《中华人民共和国政府采购法》第二十二条规定并提供相关证明材料</w:t>
            </w:r>
            <w:r>
              <w:rPr>
                <w:rFonts w:hint="eastAsia" w:ascii="Times New Roman" w:hAnsi="Times New Roman" w:eastAsia="宋体" w:cs="Times New Roman"/>
                <w:color w:val="auto"/>
                <w:szCs w:val="21"/>
                <w:highlight w:val="none"/>
                <w:lang w:eastAsia="zh-CN"/>
              </w:rPr>
              <w:t>；</w:t>
            </w:r>
          </w:p>
          <w:p>
            <w:pPr>
              <w:spacing w:line="400" w:lineRule="exact"/>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2、落实政府采购政策需满足的资格要求：无；</w:t>
            </w:r>
          </w:p>
          <w:p>
            <w:pPr>
              <w:spacing w:line="400" w:lineRule="exact"/>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3、本项目的特定资格要求：</w:t>
            </w:r>
          </w:p>
          <w:p>
            <w:pPr>
              <w:spacing w:line="400" w:lineRule="exact"/>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（1）供应商须提供认为能够完成项目的相关证照如项目负责人及成员的《健康证》等，如有要求须协助办理《排污许可证》、《卫生许可证》等证照。</w:t>
            </w:r>
          </w:p>
          <w:p>
            <w:pPr>
              <w:spacing w:line="400" w:lineRule="exact"/>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（2）</w:t>
            </w:r>
            <w:r>
              <w:rPr>
                <w:rFonts w:ascii="Times New Roman" w:hAnsi="Times New Roman" w:eastAsia="宋体" w:cs="Times New Roman"/>
                <w:color w:val="auto"/>
                <w:szCs w:val="21"/>
                <w:highlight w:val="none"/>
              </w:rPr>
              <w:t>近三年内在经营活动中没有重大违法记录或出现重大质量问题；没有处于被责令停业，投标资格被取消，财产被接管、冻结、破产状态；没有被纳入违约失信企业名单、列为失信被执行人。</w:t>
            </w:r>
          </w:p>
          <w:p>
            <w:pPr>
              <w:spacing w:line="400" w:lineRule="exact"/>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3）供应商在投标截止时间前未被列入“信用中国”网站（www.creditchina.gov.cn）失信被执行人、重大税收违法案件当事人名单、政府采购严重违法失信行为记录名单及中国政府采购网（www.ccgp.gov.cn）“政府采购严重违法失信行为信息记录”（提供查询截图）。若为失信企业，将取消成交资格。</w:t>
            </w:r>
          </w:p>
          <w:p>
            <w:pPr>
              <w:spacing w:line="400" w:lineRule="exact"/>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4、供应商</w:t>
            </w:r>
            <w:r>
              <w:rPr>
                <w:rFonts w:ascii="Times New Roman" w:hAnsi="Times New Roman" w:eastAsia="宋体" w:cs="Times New Roman"/>
                <w:color w:val="auto"/>
                <w:szCs w:val="21"/>
                <w:highlight w:val="none"/>
              </w:rPr>
              <w:t>提供的资料中被查实有虚假证明材料的，采购人有权取消其磋商资格；磋商后中选的，其中选资格无效。</w:t>
            </w:r>
          </w:p>
          <w:p>
            <w:pPr>
              <w:spacing w:line="400" w:lineRule="exact"/>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5、本次磋商不接受联合体投标。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2" w:hRule="atLeast"/>
        </w:trPr>
        <w:tc>
          <w:tcPr>
            <w:tcW w:w="709" w:type="dxa"/>
            <w:tcBorders>
              <w:top w:val="single" w:color="auto" w:sz="4" w:space="0"/>
              <w:left w:val="thinThickSmallGap" w:color="auto" w:sz="18" w:space="0"/>
              <w:bottom w:val="thickThinSmallGap" w:color="auto" w:sz="18" w:space="0"/>
            </w:tcBorders>
            <w:noWrap/>
            <w:vAlign w:val="center"/>
          </w:tcPr>
          <w:p>
            <w:pPr>
              <w:spacing w:line="300" w:lineRule="exact"/>
              <w:jc w:val="center"/>
              <w:rPr>
                <w:rFonts w:ascii="Times New Roman" w:hAnsi="Times New Roman" w:eastAsia="宋体" w:cs="Times New Roman"/>
                <w:color w:val="auto"/>
                <w:kern w:val="0"/>
                <w:szCs w:val="21"/>
                <w:highlight w:val="none"/>
              </w:rPr>
            </w:pPr>
            <w:r>
              <w:rPr>
                <w:rFonts w:ascii="Times New Roman" w:hAnsi="Times New Roman" w:eastAsia="宋体" w:cs="Times New Roman"/>
                <w:color w:val="auto"/>
                <w:kern w:val="0"/>
                <w:szCs w:val="21"/>
                <w:highlight w:val="none"/>
              </w:rPr>
              <w:t>1</w:t>
            </w:r>
            <w:r>
              <w:rPr>
                <w:rFonts w:hint="eastAsia" w:ascii="Times New Roman" w:hAnsi="Times New Roman" w:eastAsia="宋体" w:cs="Times New Roman"/>
                <w:color w:val="auto"/>
                <w:kern w:val="0"/>
                <w:szCs w:val="21"/>
                <w:highlight w:val="none"/>
              </w:rPr>
              <w:t>0</w:t>
            </w:r>
          </w:p>
        </w:tc>
        <w:tc>
          <w:tcPr>
            <w:tcW w:w="1843" w:type="dxa"/>
            <w:tcBorders>
              <w:top w:val="single" w:color="auto" w:sz="4" w:space="0"/>
              <w:bottom w:val="thickThinSmallGap" w:color="auto" w:sz="18" w:space="0"/>
            </w:tcBorders>
            <w:noWrap/>
            <w:vAlign w:val="center"/>
          </w:tcPr>
          <w:p>
            <w:pPr>
              <w:spacing w:line="300" w:lineRule="exact"/>
              <w:jc w:val="center"/>
              <w:rPr>
                <w:rFonts w:ascii="Times New Roman" w:hAnsi="Times New Roman" w:eastAsia="宋体" w:cs="Times New Roman"/>
                <w:color w:val="auto"/>
                <w:kern w:val="0"/>
                <w:szCs w:val="21"/>
                <w:highlight w:val="none"/>
              </w:rPr>
            </w:pPr>
            <w:r>
              <w:rPr>
                <w:rFonts w:ascii="Times New Roman" w:hAnsi="Times New Roman" w:eastAsia="宋体" w:cs="Times New Roman"/>
                <w:color w:val="auto"/>
                <w:kern w:val="0"/>
                <w:szCs w:val="21"/>
                <w:highlight w:val="none"/>
              </w:rPr>
              <w:t>现场踏勘</w:t>
            </w:r>
          </w:p>
        </w:tc>
        <w:tc>
          <w:tcPr>
            <w:tcW w:w="6520" w:type="dxa"/>
            <w:tcBorders>
              <w:top w:val="single" w:color="auto" w:sz="4" w:space="0"/>
              <w:bottom w:val="thickThinSmallGap" w:color="auto" w:sz="18" w:space="0"/>
              <w:right w:val="thickThinSmallGap" w:color="auto" w:sz="18" w:space="0"/>
            </w:tcBorders>
            <w:noWrap/>
            <w:vAlign w:val="center"/>
          </w:tcPr>
          <w:p>
            <w:pPr>
              <w:spacing w:line="300" w:lineRule="exact"/>
              <w:jc w:val="left"/>
              <w:rPr>
                <w:rFonts w:ascii="Times New Roman" w:hAnsi="Times New Roman" w:eastAsia="宋体" w:cs="Times New Roman"/>
                <w:color w:val="auto"/>
                <w:kern w:val="0"/>
                <w:szCs w:val="21"/>
                <w:highlight w:val="none"/>
              </w:rPr>
            </w:pPr>
            <w:r>
              <w:rPr>
                <w:rFonts w:ascii="Times New Roman" w:hAnsi="Times New Roman" w:eastAsia="宋体" w:cs="Times New Roman"/>
                <w:color w:val="auto"/>
                <w:kern w:val="0"/>
                <w:szCs w:val="21"/>
                <w:highlight w:val="none"/>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2" w:hRule="atLeast"/>
        </w:trPr>
        <w:tc>
          <w:tcPr>
            <w:tcW w:w="709" w:type="dxa"/>
            <w:tcBorders>
              <w:top w:val="single" w:color="auto" w:sz="4" w:space="0"/>
              <w:left w:val="thinThickSmallGap" w:color="auto" w:sz="18" w:space="0"/>
              <w:bottom w:val="thickThinSmallGap" w:color="auto" w:sz="18" w:space="0"/>
            </w:tcBorders>
            <w:noWrap/>
            <w:vAlign w:val="center"/>
          </w:tcPr>
          <w:p>
            <w:pPr>
              <w:spacing w:line="300" w:lineRule="exact"/>
              <w:jc w:val="center"/>
              <w:rPr>
                <w:rFonts w:ascii="Times New Roman" w:hAnsi="Times New Roman" w:eastAsia="宋体" w:cs="Times New Roman"/>
                <w:color w:val="auto"/>
                <w:kern w:val="0"/>
                <w:szCs w:val="21"/>
                <w:highlight w:val="none"/>
              </w:rPr>
            </w:pPr>
            <w:r>
              <w:rPr>
                <w:rFonts w:ascii="Times New Roman" w:hAnsi="Times New Roman" w:eastAsia="宋体" w:cs="Times New Roman"/>
                <w:color w:val="auto"/>
                <w:kern w:val="0"/>
                <w:szCs w:val="21"/>
                <w:highlight w:val="none"/>
              </w:rPr>
              <w:t>1</w:t>
            </w:r>
            <w:r>
              <w:rPr>
                <w:rFonts w:hint="eastAsia" w:ascii="Times New Roman" w:hAnsi="Times New Roman" w:eastAsia="宋体" w:cs="Times New Roman"/>
                <w:color w:val="auto"/>
                <w:kern w:val="0"/>
                <w:szCs w:val="21"/>
                <w:highlight w:val="none"/>
              </w:rPr>
              <w:t>1</w:t>
            </w:r>
          </w:p>
        </w:tc>
        <w:tc>
          <w:tcPr>
            <w:tcW w:w="1843" w:type="dxa"/>
            <w:tcBorders>
              <w:top w:val="single" w:color="auto" w:sz="4" w:space="0"/>
              <w:bottom w:val="thickThinSmallGap" w:color="auto" w:sz="18" w:space="0"/>
            </w:tcBorders>
            <w:noWrap/>
            <w:vAlign w:val="center"/>
          </w:tcPr>
          <w:p>
            <w:pPr>
              <w:spacing w:line="300" w:lineRule="exact"/>
              <w:jc w:val="center"/>
              <w:rPr>
                <w:rFonts w:ascii="Times New Roman" w:hAnsi="Times New Roman" w:eastAsia="宋体" w:cs="Times New Roman"/>
                <w:color w:val="auto"/>
                <w:kern w:val="0"/>
                <w:szCs w:val="21"/>
                <w:highlight w:val="none"/>
              </w:rPr>
            </w:pPr>
            <w:r>
              <w:rPr>
                <w:rFonts w:ascii="Times New Roman" w:hAnsi="Times New Roman" w:eastAsia="宋体" w:cs="Times New Roman"/>
                <w:color w:val="auto"/>
                <w:kern w:val="0"/>
                <w:szCs w:val="21"/>
                <w:highlight w:val="none"/>
              </w:rPr>
              <w:t>联合体投标</w:t>
            </w:r>
          </w:p>
        </w:tc>
        <w:tc>
          <w:tcPr>
            <w:tcW w:w="6520" w:type="dxa"/>
            <w:tcBorders>
              <w:top w:val="single" w:color="auto" w:sz="4" w:space="0"/>
              <w:bottom w:val="thickThinSmallGap" w:color="auto" w:sz="18" w:space="0"/>
              <w:right w:val="thickThinSmallGap" w:color="auto" w:sz="18" w:space="0"/>
            </w:tcBorders>
            <w:noWrap/>
            <w:vAlign w:val="center"/>
          </w:tcPr>
          <w:p>
            <w:pPr>
              <w:spacing w:line="300" w:lineRule="exact"/>
              <w:jc w:val="left"/>
              <w:rPr>
                <w:rFonts w:ascii="Times New Roman" w:hAnsi="Times New Roman" w:eastAsia="宋体" w:cs="Times New Roman"/>
                <w:color w:val="auto"/>
                <w:kern w:val="0"/>
                <w:szCs w:val="21"/>
                <w:highlight w:val="none"/>
              </w:rPr>
            </w:pPr>
            <w:r>
              <w:rPr>
                <w:rFonts w:ascii="Times New Roman" w:hAnsi="Times New Roman" w:eastAsia="宋体" w:cs="Times New Roman"/>
                <w:color w:val="auto"/>
                <w:kern w:val="0"/>
                <w:szCs w:val="21"/>
                <w:highlight w:val="none"/>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 w:hRule="atLeast"/>
        </w:trPr>
        <w:tc>
          <w:tcPr>
            <w:tcW w:w="709" w:type="dxa"/>
            <w:tcBorders>
              <w:top w:val="thinThickSmallGap" w:color="auto" w:sz="18" w:space="0"/>
              <w:left w:val="thinThickSmallGap" w:color="auto" w:sz="18" w:space="0"/>
              <w:bottom w:val="single" w:color="auto" w:sz="4" w:space="0"/>
            </w:tcBorders>
            <w:noWrap/>
            <w:vAlign w:val="center"/>
          </w:tcPr>
          <w:p>
            <w:pPr>
              <w:spacing w:line="300" w:lineRule="exact"/>
              <w:jc w:val="center"/>
              <w:rPr>
                <w:rFonts w:ascii="Times New Roman" w:hAnsi="Times New Roman" w:eastAsia="宋体" w:cs="Times New Roman"/>
                <w:color w:val="auto"/>
                <w:kern w:val="0"/>
                <w:szCs w:val="21"/>
                <w:highlight w:val="none"/>
              </w:rPr>
            </w:pPr>
            <w:r>
              <w:rPr>
                <w:rFonts w:ascii="Times New Roman" w:hAnsi="Times New Roman" w:eastAsia="宋体" w:cs="Times New Roman"/>
                <w:color w:val="auto"/>
                <w:kern w:val="0"/>
                <w:szCs w:val="21"/>
                <w:highlight w:val="none"/>
              </w:rPr>
              <w:t>1</w:t>
            </w:r>
            <w:r>
              <w:rPr>
                <w:rFonts w:hint="eastAsia" w:ascii="Times New Roman" w:hAnsi="Times New Roman" w:eastAsia="宋体" w:cs="Times New Roman"/>
                <w:color w:val="auto"/>
                <w:kern w:val="0"/>
                <w:szCs w:val="21"/>
                <w:highlight w:val="none"/>
              </w:rPr>
              <w:t>2</w:t>
            </w:r>
          </w:p>
        </w:tc>
        <w:tc>
          <w:tcPr>
            <w:tcW w:w="1843" w:type="dxa"/>
            <w:tcBorders>
              <w:top w:val="thinThickSmallGap" w:color="auto" w:sz="18" w:space="0"/>
              <w:bottom w:val="single" w:color="auto" w:sz="4" w:space="0"/>
            </w:tcBorders>
            <w:noWrap/>
            <w:vAlign w:val="center"/>
          </w:tcPr>
          <w:p>
            <w:pPr>
              <w:spacing w:line="276" w:lineRule="auto"/>
              <w:rPr>
                <w:rFonts w:ascii="Times New Roman" w:hAnsi="Times New Roman" w:eastAsia="宋体" w:cs="Times New Roman"/>
                <w:color w:val="auto"/>
                <w:kern w:val="0"/>
                <w:szCs w:val="21"/>
                <w:highlight w:val="none"/>
              </w:rPr>
            </w:pPr>
            <w:r>
              <w:rPr>
                <w:rFonts w:hint="eastAsia" w:ascii="Times New Roman" w:hAnsi="Times New Roman" w:eastAsia="宋体" w:cs="Times New Roman"/>
                <w:color w:val="auto"/>
                <w:kern w:val="0"/>
                <w:szCs w:val="21"/>
                <w:highlight w:val="none"/>
              </w:rPr>
              <w:t>磋商文件的澄清或者修改</w:t>
            </w:r>
          </w:p>
        </w:tc>
        <w:tc>
          <w:tcPr>
            <w:tcW w:w="6520" w:type="dxa"/>
            <w:tcBorders>
              <w:top w:val="thinThickSmallGap" w:color="auto" w:sz="18" w:space="0"/>
              <w:bottom w:val="single" w:color="auto" w:sz="4" w:space="0"/>
              <w:right w:val="thickThinSmallGap" w:color="auto" w:sz="18" w:space="0"/>
            </w:tcBorders>
            <w:noWrap/>
            <w:vAlign w:val="center"/>
          </w:tcPr>
          <w:p>
            <w:pPr>
              <w:spacing w:line="276" w:lineRule="auto"/>
              <w:rPr>
                <w:rFonts w:ascii="Times New Roman" w:hAnsi="Times New Roman" w:eastAsia="宋体" w:cs="Times New Roman"/>
                <w:color w:val="auto"/>
                <w:kern w:val="0"/>
                <w:szCs w:val="21"/>
                <w:highlight w:val="none"/>
              </w:rPr>
            </w:pPr>
            <w:r>
              <w:rPr>
                <w:rFonts w:hint="eastAsia" w:ascii="Times New Roman" w:hAnsi="Times New Roman" w:eastAsia="宋体" w:cs="Times New Roman"/>
                <w:color w:val="auto"/>
                <w:kern w:val="0"/>
                <w:szCs w:val="21"/>
                <w:highlight w:val="none"/>
              </w:rPr>
              <w:t>提交首次响应文件截止时间至少5日前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trPr>
        <w:tc>
          <w:tcPr>
            <w:tcW w:w="709" w:type="dxa"/>
            <w:tcBorders>
              <w:top w:val="single" w:color="auto" w:sz="4" w:space="0"/>
              <w:left w:val="thinThickSmallGap" w:color="auto" w:sz="18" w:space="0"/>
              <w:bottom w:val="single" w:color="auto" w:sz="4" w:space="0"/>
            </w:tcBorders>
            <w:noWrap/>
            <w:vAlign w:val="center"/>
          </w:tcPr>
          <w:p>
            <w:pPr>
              <w:spacing w:line="300" w:lineRule="exact"/>
              <w:jc w:val="center"/>
              <w:rPr>
                <w:rFonts w:ascii="Times New Roman" w:hAnsi="Times New Roman" w:eastAsia="宋体" w:cs="Times New Roman"/>
                <w:color w:val="auto"/>
                <w:kern w:val="0"/>
                <w:szCs w:val="21"/>
                <w:highlight w:val="none"/>
              </w:rPr>
            </w:pPr>
            <w:r>
              <w:rPr>
                <w:rFonts w:ascii="Times New Roman" w:hAnsi="Times New Roman" w:eastAsia="宋体" w:cs="Times New Roman"/>
                <w:color w:val="auto"/>
                <w:kern w:val="0"/>
                <w:szCs w:val="21"/>
                <w:highlight w:val="none"/>
              </w:rPr>
              <w:t>1</w:t>
            </w:r>
            <w:r>
              <w:rPr>
                <w:rFonts w:hint="eastAsia" w:ascii="Times New Roman" w:hAnsi="Times New Roman" w:eastAsia="宋体" w:cs="Times New Roman"/>
                <w:color w:val="auto"/>
                <w:kern w:val="0"/>
                <w:szCs w:val="21"/>
                <w:highlight w:val="none"/>
              </w:rPr>
              <w:t>3</w:t>
            </w:r>
          </w:p>
        </w:tc>
        <w:tc>
          <w:tcPr>
            <w:tcW w:w="1843" w:type="dxa"/>
            <w:tcBorders>
              <w:top w:val="single" w:color="auto" w:sz="4" w:space="0"/>
              <w:bottom w:val="single" w:color="auto" w:sz="4" w:space="0"/>
            </w:tcBorders>
            <w:noWrap/>
            <w:vAlign w:val="center"/>
          </w:tcPr>
          <w:p>
            <w:pPr>
              <w:pStyle w:val="12"/>
              <w:spacing w:line="276" w:lineRule="auto"/>
              <w:rPr>
                <w:rFonts w:ascii="Times New Roman" w:hAnsi="Times New Roman" w:eastAsia="宋体" w:cs="Times New Roman"/>
                <w:color w:val="auto"/>
                <w:kern w:val="0"/>
                <w:szCs w:val="21"/>
                <w:highlight w:val="none"/>
              </w:rPr>
            </w:pPr>
            <w:r>
              <w:rPr>
                <w:rFonts w:hint="eastAsia" w:ascii="Times New Roman" w:hAnsi="Times New Roman" w:eastAsia="宋体" w:cs="Times New Roman"/>
                <w:color w:val="auto"/>
                <w:kern w:val="0"/>
                <w:szCs w:val="21"/>
                <w:highlight w:val="none"/>
              </w:rPr>
              <w:t>有效期</w:t>
            </w:r>
          </w:p>
        </w:tc>
        <w:tc>
          <w:tcPr>
            <w:tcW w:w="6520" w:type="dxa"/>
            <w:tcBorders>
              <w:top w:val="single" w:color="auto" w:sz="4" w:space="0"/>
              <w:bottom w:val="single" w:color="auto" w:sz="4" w:space="0"/>
              <w:right w:val="thickThinSmallGap" w:color="auto" w:sz="18" w:space="0"/>
            </w:tcBorders>
            <w:noWrap/>
            <w:vAlign w:val="center"/>
          </w:tcPr>
          <w:p>
            <w:pPr>
              <w:pStyle w:val="12"/>
              <w:spacing w:line="276" w:lineRule="auto"/>
              <w:rPr>
                <w:rFonts w:ascii="Times New Roman" w:hAnsi="Times New Roman" w:eastAsia="宋体" w:cs="Times New Roman"/>
                <w:color w:val="auto"/>
                <w:kern w:val="0"/>
                <w:szCs w:val="21"/>
                <w:highlight w:val="none"/>
              </w:rPr>
            </w:pPr>
            <w:r>
              <w:rPr>
                <w:rFonts w:hint="eastAsia" w:ascii="Times New Roman" w:hAnsi="Times New Roman" w:eastAsia="宋体" w:cs="Times New Roman"/>
                <w:color w:val="auto"/>
                <w:kern w:val="0"/>
                <w:szCs w:val="21"/>
                <w:highlight w:val="none"/>
              </w:rPr>
              <w:t>从递交磋商响应文件截止之日起60日历天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color w:val="auto"/>
                <w:kern w:val="0"/>
                <w:szCs w:val="21"/>
                <w:highlight w:val="none"/>
              </w:rPr>
            </w:pPr>
            <w:r>
              <w:rPr>
                <w:rFonts w:ascii="Times New Roman" w:hAnsi="Times New Roman" w:eastAsia="宋体" w:cs="Times New Roman"/>
                <w:color w:val="auto"/>
                <w:kern w:val="0"/>
                <w:szCs w:val="21"/>
                <w:highlight w:val="none"/>
              </w:rPr>
              <w:t>1</w:t>
            </w:r>
            <w:r>
              <w:rPr>
                <w:rFonts w:hint="eastAsia" w:ascii="Times New Roman" w:hAnsi="Times New Roman" w:eastAsia="宋体" w:cs="Times New Roman"/>
                <w:color w:val="auto"/>
                <w:kern w:val="0"/>
                <w:szCs w:val="21"/>
                <w:highlight w:val="none"/>
              </w:rPr>
              <w:t>4</w:t>
            </w:r>
          </w:p>
        </w:tc>
        <w:tc>
          <w:tcPr>
            <w:tcW w:w="1843" w:type="dxa"/>
            <w:noWrap/>
            <w:vAlign w:val="center"/>
          </w:tcPr>
          <w:p>
            <w:pPr>
              <w:spacing w:line="300" w:lineRule="exact"/>
              <w:jc w:val="left"/>
              <w:rPr>
                <w:rFonts w:ascii="Times New Roman" w:hAnsi="Times New Roman" w:eastAsia="宋体" w:cs="Times New Roman"/>
                <w:color w:val="auto"/>
                <w:kern w:val="0"/>
                <w:szCs w:val="21"/>
                <w:highlight w:val="none"/>
              </w:rPr>
            </w:pPr>
            <w:r>
              <w:rPr>
                <w:rFonts w:hint="eastAsia" w:ascii="Times New Roman" w:hAnsi="Times New Roman" w:eastAsia="宋体" w:cs="Times New Roman"/>
                <w:color w:val="auto"/>
                <w:kern w:val="0"/>
                <w:szCs w:val="21"/>
                <w:highlight w:val="none"/>
              </w:rPr>
              <w:t>磋商</w:t>
            </w:r>
            <w:r>
              <w:rPr>
                <w:rFonts w:ascii="Times New Roman" w:hAnsi="Times New Roman" w:eastAsia="宋体" w:cs="Times New Roman"/>
                <w:color w:val="auto"/>
                <w:kern w:val="0"/>
                <w:szCs w:val="21"/>
                <w:highlight w:val="none"/>
              </w:rPr>
              <w:t>保证金</w:t>
            </w:r>
          </w:p>
        </w:tc>
        <w:tc>
          <w:tcPr>
            <w:tcW w:w="6520" w:type="dxa"/>
            <w:tcBorders>
              <w:right w:val="thickThinSmallGap" w:color="auto" w:sz="18" w:space="0"/>
            </w:tcBorders>
            <w:noWrap/>
            <w:vAlign w:val="center"/>
          </w:tcPr>
          <w:p>
            <w:pPr>
              <w:spacing w:line="400" w:lineRule="exact"/>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保证金的形式：现金，保证金的金额：</w:t>
            </w:r>
            <w:r>
              <w:rPr>
                <w:rFonts w:hint="eastAsia" w:ascii="Times New Roman" w:hAnsi="Times New Roman" w:eastAsia="宋体" w:cs="Times New Roman"/>
                <w:color w:val="auto"/>
                <w:szCs w:val="21"/>
                <w:highlight w:val="none"/>
              </w:rPr>
              <w:t>5000</w:t>
            </w:r>
            <w:r>
              <w:rPr>
                <w:rFonts w:ascii="Times New Roman" w:hAnsi="Times New Roman" w:eastAsia="宋体" w:cs="Times New Roman"/>
                <w:color w:val="auto"/>
                <w:szCs w:val="21"/>
                <w:highlight w:val="none"/>
              </w:rPr>
              <w:t>.00（大写：人民币</w:t>
            </w:r>
            <w:r>
              <w:rPr>
                <w:rFonts w:hint="eastAsia" w:ascii="Times New Roman" w:hAnsi="Times New Roman" w:eastAsia="宋体" w:cs="Times New Roman"/>
                <w:color w:val="auto"/>
                <w:szCs w:val="21"/>
                <w:highlight w:val="none"/>
              </w:rPr>
              <w:t>伍仟</w:t>
            </w:r>
            <w:r>
              <w:rPr>
                <w:rFonts w:ascii="Times New Roman" w:hAnsi="Times New Roman" w:eastAsia="宋体" w:cs="Times New Roman"/>
                <w:color w:val="auto"/>
                <w:szCs w:val="21"/>
                <w:highlight w:val="none"/>
              </w:rPr>
              <w:t>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trPr>
        <w:tc>
          <w:tcPr>
            <w:tcW w:w="709" w:type="dxa"/>
            <w:tcBorders>
              <w:left w:val="thinThickSmallGap" w:color="auto" w:sz="18" w:space="0"/>
              <w:bottom w:val="single" w:color="auto" w:sz="4" w:space="0"/>
            </w:tcBorders>
            <w:noWrap/>
            <w:vAlign w:val="center"/>
          </w:tcPr>
          <w:p>
            <w:pPr>
              <w:spacing w:line="300" w:lineRule="exact"/>
              <w:jc w:val="center"/>
              <w:rPr>
                <w:rFonts w:ascii="Times New Roman" w:hAnsi="Times New Roman" w:eastAsia="宋体" w:cs="Times New Roman"/>
                <w:color w:val="auto"/>
                <w:kern w:val="0"/>
                <w:szCs w:val="21"/>
                <w:highlight w:val="none"/>
              </w:rPr>
            </w:pPr>
            <w:r>
              <w:rPr>
                <w:rFonts w:ascii="Times New Roman" w:hAnsi="Times New Roman" w:eastAsia="宋体" w:cs="Times New Roman"/>
                <w:color w:val="auto"/>
                <w:kern w:val="0"/>
                <w:szCs w:val="21"/>
                <w:highlight w:val="none"/>
              </w:rPr>
              <w:t>1</w:t>
            </w:r>
            <w:r>
              <w:rPr>
                <w:rFonts w:hint="eastAsia" w:ascii="Times New Roman" w:hAnsi="Times New Roman" w:eastAsia="宋体" w:cs="Times New Roman"/>
                <w:color w:val="auto"/>
                <w:kern w:val="0"/>
                <w:szCs w:val="21"/>
                <w:highlight w:val="none"/>
              </w:rPr>
              <w:t>5</w:t>
            </w:r>
          </w:p>
        </w:tc>
        <w:tc>
          <w:tcPr>
            <w:tcW w:w="1843" w:type="dxa"/>
            <w:tcBorders>
              <w:bottom w:val="single" w:color="auto" w:sz="4" w:space="0"/>
            </w:tcBorders>
            <w:noWrap/>
            <w:vAlign w:val="center"/>
          </w:tcPr>
          <w:p>
            <w:pPr>
              <w:pStyle w:val="12"/>
              <w:spacing w:line="276" w:lineRule="auto"/>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响应文件份数</w:t>
            </w:r>
          </w:p>
        </w:tc>
        <w:tc>
          <w:tcPr>
            <w:tcW w:w="6520" w:type="dxa"/>
            <w:tcBorders>
              <w:bottom w:val="single" w:color="auto" w:sz="4" w:space="0"/>
              <w:right w:val="thickThinSmallGap" w:color="auto" w:sz="18" w:space="0"/>
            </w:tcBorders>
            <w:noWrap/>
            <w:vAlign w:val="center"/>
          </w:tcPr>
          <w:p>
            <w:pPr>
              <w:pStyle w:val="12"/>
              <w:spacing w:line="276" w:lineRule="auto"/>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正本</w:t>
            </w:r>
            <w:r>
              <w:rPr>
                <w:rFonts w:hint="eastAsia" w:ascii="Times New Roman" w:hAnsi="Times New Roman" w:eastAsia="宋体" w:cs="Times New Roman"/>
                <w:color w:val="auto"/>
                <w:szCs w:val="21"/>
                <w:highlight w:val="none"/>
              </w:rPr>
              <w:t>1</w:t>
            </w:r>
            <w:r>
              <w:rPr>
                <w:rFonts w:ascii="Times New Roman" w:hAnsi="Times New Roman" w:eastAsia="宋体" w:cs="Times New Roman"/>
                <w:color w:val="auto"/>
                <w:szCs w:val="21"/>
                <w:highlight w:val="none"/>
              </w:rPr>
              <w:t>份，副本</w:t>
            </w:r>
            <w:r>
              <w:rPr>
                <w:rFonts w:hint="eastAsia" w:ascii="Times New Roman" w:hAnsi="Times New Roman" w:eastAsia="宋体" w:cs="Times New Roman"/>
                <w:color w:val="auto"/>
                <w:szCs w:val="21"/>
                <w:highlight w:val="none"/>
              </w:rPr>
              <w:t>1</w:t>
            </w:r>
            <w:r>
              <w:rPr>
                <w:rFonts w:ascii="Times New Roman" w:hAnsi="Times New Roman" w:eastAsia="宋体" w:cs="Times New Roman"/>
                <w:color w:val="auto"/>
                <w:szCs w:val="21"/>
                <w:highlight w:val="none"/>
              </w:rPr>
              <w:t>份</w:t>
            </w:r>
            <w:r>
              <w:rPr>
                <w:rFonts w:hint="eastAsia" w:ascii="Times New Roman" w:hAnsi="Times New Roman" w:eastAsia="宋体" w:cs="Times New Roman"/>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trPr>
        <w:tc>
          <w:tcPr>
            <w:tcW w:w="709" w:type="dxa"/>
            <w:tcBorders>
              <w:top w:val="single" w:color="auto" w:sz="4" w:space="0"/>
              <w:left w:val="thinThickSmallGap" w:color="auto" w:sz="18" w:space="0"/>
            </w:tcBorders>
            <w:noWrap/>
            <w:vAlign w:val="center"/>
          </w:tcPr>
          <w:p>
            <w:pPr>
              <w:spacing w:line="300" w:lineRule="exact"/>
              <w:jc w:val="center"/>
              <w:rPr>
                <w:rFonts w:ascii="Times New Roman" w:hAnsi="Times New Roman" w:eastAsia="宋体" w:cs="Times New Roman"/>
                <w:color w:val="auto"/>
                <w:kern w:val="0"/>
                <w:szCs w:val="21"/>
                <w:highlight w:val="none"/>
              </w:rPr>
            </w:pPr>
            <w:r>
              <w:rPr>
                <w:rFonts w:ascii="Times New Roman" w:hAnsi="Times New Roman" w:eastAsia="宋体" w:cs="Times New Roman"/>
                <w:color w:val="auto"/>
                <w:kern w:val="0"/>
                <w:szCs w:val="21"/>
                <w:highlight w:val="none"/>
              </w:rPr>
              <w:t>1</w:t>
            </w:r>
            <w:r>
              <w:rPr>
                <w:rFonts w:hint="eastAsia" w:ascii="Times New Roman" w:hAnsi="Times New Roman" w:eastAsia="宋体" w:cs="Times New Roman"/>
                <w:color w:val="auto"/>
                <w:kern w:val="0"/>
                <w:szCs w:val="21"/>
                <w:highlight w:val="none"/>
              </w:rPr>
              <w:t>6</w:t>
            </w:r>
          </w:p>
        </w:tc>
        <w:tc>
          <w:tcPr>
            <w:tcW w:w="1843" w:type="dxa"/>
            <w:tcBorders>
              <w:top w:val="single" w:color="auto" w:sz="4" w:space="0"/>
            </w:tcBorders>
            <w:noWrap/>
            <w:vAlign w:val="center"/>
          </w:tcPr>
          <w:p>
            <w:pPr>
              <w:spacing w:line="300" w:lineRule="exact"/>
              <w:rPr>
                <w:rFonts w:hint="default" w:ascii="Times New Roman" w:hAnsi="Times New Roman" w:eastAsia="宋体" w:cs="Times New Roman"/>
                <w:color w:val="auto"/>
                <w:kern w:val="0"/>
                <w:szCs w:val="21"/>
                <w:highlight w:val="none"/>
              </w:rPr>
            </w:pPr>
            <w:r>
              <w:rPr>
                <w:rFonts w:hint="default" w:ascii="Times New Roman" w:hAnsi="Times New Roman" w:eastAsia="宋体" w:cs="Times New Roman"/>
                <w:color w:val="auto"/>
                <w:kern w:val="0"/>
                <w:szCs w:val="21"/>
                <w:highlight w:val="none"/>
              </w:rPr>
              <w:t>响应文件递交及截止时间</w:t>
            </w:r>
          </w:p>
        </w:tc>
        <w:tc>
          <w:tcPr>
            <w:tcW w:w="6520" w:type="dxa"/>
            <w:tcBorders>
              <w:top w:val="single" w:color="auto" w:sz="4" w:space="0"/>
              <w:right w:val="thickThinSmallGap" w:color="auto" w:sz="18" w:space="0"/>
            </w:tcBorders>
            <w:noWrap/>
            <w:vAlign w:val="center"/>
          </w:tcPr>
          <w:p>
            <w:pPr>
              <w:spacing w:line="400" w:lineRule="exact"/>
              <w:rPr>
                <w:rFonts w:hint="default" w:ascii="Times New Roman" w:hAnsi="Times New Roman" w:cs="Times New Roman"/>
                <w:color w:val="auto"/>
                <w:highlight w:val="none"/>
              </w:rPr>
            </w:pPr>
            <w:r>
              <w:rPr>
                <w:rFonts w:hint="default" w:ascii="Times New Roman" w:hAnsi="Times New Roman" w:cs="Times New Roman"/>
                <w:color w:val="auto"/>
                <w:highlight w:val="none"/>
              </w:rPr>
              <w:t>递交时间：2023年1月</w:t>
            </w:r>
            <w:r>
              <w:rPr>
                <w:rFonts w:hint="default" w:ascii="Times New Roman" w:hAnsi="Times New Roman" w:cs="Times New Roman"/>
                <w:color w:val="auto"/>
                <w:highlight w:val="none"/>
                <w:lang w:val="en-US" w:eastAsia="zh-CN"/>
              </w:rPr>
              <w:t>19</w:t>
            </w:r>
            <w:r>
              <w:rPr>
                <w:rFonts w:hint="default" w:ascii="Times New Roman" w:hAnsi="Times New Roman" w:cs="Times New Roman"/>
                <w:color w:val="auto"/>
                <w:highlight w:val="none"/>
              </w:rPr>
              <w:t>日09点 00 分至09点30 分（北京时间）</w:t>
            </w:r>
          </w:p>
          <w:p>
            <w:pPr>
              <w:spacing w:line="400" w:lineRule="exact"/>
              <w:rPr>
                <w:rFonts w:hint="default" w:ascii="Times New Roman" w:hAnsi="Times New Roman" w:cs="Times New Roman"/>
                <w:color w:val="auto"/>
                <w:highlight w:val="none"/>
              </w:rPr>
            </w:pPr>
            <w:r>
              <w:rPr>
                <w:rFonts w:hint="default" w:ascii="Times New Roman" w:hAnsi="Times New Roman" w:cs="Times New Roman"/>
                <w:color w:val="auto"/>
                <w:highlight w:val="none"/>
              </w:rPr>
              <w:t>截止时间：2023年1月</w:t>
            </w:r>
            <w:r>
              <w:rPr>
                <w:rFonts w:hint="default" w:ascii="Times New Roman" w:hAnsi="Times New Roman" w:cs="Times New Roman"/>
                <w:color w:val="auto"/>
                <w:highlight w:val="none"/>
                <w:lang w:val="en-US" w:eastAsia="zh-CN"/>
              </w:rPr>
              <w:t>19</w:t>
            </w:r>
            <w:r>
              <w:rPr>
                <w:rFonts w:hint="default" w:ascii="Times New Roman" w:hAnsi="Times New Roman" w:cs="Times New Roman"/>
                <w:color w:val="auto"/>
                <w:highlight w:val="none"/>
              </w:rPr>
              <w:t>日09点30分（北京时间）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 w:hRule="atLeast"/>
        </w:trPr>
        <w:tc>
          <w:tcPr>
            <w:tcW w:w="709" w:type="dxa"/>
            <w:tcBorders>
              <w:top w:val="dotted" w:color="auto" w:sz="4" w:space="0"/>
              <w:left w:val="thinThickSmallGap" w:color="auto" w:sz="18" w:space="0"/>
            </w:tcBorders>
            <w:noWrap/>
            <w:vAlign w:val="center"/>
          </w:tcPr>
          <w:p>
            <w:pPr>
              <w:spacing w:line="300" w:lineRule="exact"/>
              <w:jc w:val="center"/>
              <w:rPr>
                <w:rFonts w:ascii="Times New Roman" w:hAnsi="Times New Roman" w:eastAsia="宋体" w:cs="Times New Roman"/>
                <w:color w:val="auto"/>
                <w:kern w:val="0"/>
                <w:szCs w:val="21"/>
                <w:highlight w:val="none"/>
              </w:rPr>
            </w:pPr>
            <w:r>
              <w:rPr>
                <w:rFonts w:hint="eastAsia" w:ascii="Times New Roman" w:hAnsi="Times New Roman" w:eastAsia="宋体" w:cs="Times New Roman"/>
                <w:color w:val="auto"/>
                <w:kern w:val="0"/>
                <w:szCs w:val="21"/>
                <w:highlight w:val="none"/>
              </w:rPr>
              <w:t>17</w:t>
            </w:r>
          </w:p>
        </w:tc>
        <w:tc>
          <w:tcPr>
            <w:tcW w:w="1843" w:type="dxa"/>
            <w:tcBorders>
              <w:top w:val="dotted" w:color="auto" w:sz="4" w:space="0"/>
            </w:tcBorders>
            <w:noWrap/>
            <w:vAlign w:val="center"/>
          </w:tcPr>
          <w:p>
            <w:pPr>
              <w:spacing w:line="300" w:lineRule="exact"/>
              <w:jc w:val="center"/>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递交响应文件的地点</w:t>
            </w:r>
          </w:p>
        </w:tc>
        <w:tc>
          <w:tcPr>
            <w:tcW w:w="6520" w:type="dxa"/>
            <w:tcBorders>
              <w:top w:val="dotted" w:color="auto" w:sz="4" w:space="0"/>
              <w:right w:val="thickThinSmallGap" w:color="auto" w:sz="18" w:space="0"/>
            </w:tcBorders>
            <w:noWrap/>
            <w:vAlign w:val="center"/>
          </w:tcPr>
          <w:p>
            <w:pPr>
              <w:spacing w:line="460" w:lineRule="exact"/>
              <w:rPr>
                <w:rFonts w:hint="default" w:ascii="Times New Roman" w:hAnsi="Times New Roman" w:eastAsia="宋体" w:cs="Times New Roman"/>
                <w:color w:val="auto"/>
                <w:szCs w:val="21"/>
                <w:highlight w:val="none"/>
              </w:rPr>
            </w:pPr>
            <w:r>
              <w:rPr>
                <w:rFonts w:hint="default" w:ascii="Times New Roman" w:hAnsi="Times New Roman" w:eastAsia="宋体" w:cs="Times New Roman"/>
                <w:color w:val="auto"/>
                <w:szCs w:val="21"/>
                <w:highlight w:val="none"/>
              </w:rPr>
              <w:t>楚雄医药高等专科学校远志楼</w:t>
            </w:r>
            <w:r>
              <w:rPr>
                <w:rFonts w:hint="default" w:ascii="Times New Roman" w:hAnsi="Times New Roman" w:eastAsia="宋体" w:cs="Times New Roman"/>
                <w:color w:val="auto"/>
                <w:szCs w:val="21"/>
                <w:highlight w:val="none"/>
              </w:rPr>
              <w:t>811保卫处会议室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1"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color w:val="auto"/>
                <w:kern w:val="0"/>
                <w:szCs w:val="21"/>
                <w:highlight w:val="none"/>
              </w:rPr>
            </w:pPr>
            <w:r>
              <w:rPr>
                <w:rFonts w:hint="eastAsia" w:ascii="Times New Roman" w:hAnsi="Times New Roman" w:eastAsia="宋体" w:cs="Times New Roman"/>
                <w:color w:val="auto"/>
                <w:kern w:val="0"/>
                <w:szCs w:val="21"/>
                <w:highlight w:val="none"/>
              </w:rPr>
              <w:t>18</w:t>
            </w:r>
          </w:p>
        </w:tc>
        <w:tc>
          <w:tcPr>
            <w:tcW w:w="1843" w:type="dxa"/>
            <w:noWrap/>
            <w:vAlign w:val="center"/>
          </w:tcPr>
          <w:p>
            <w:pPr>
              <w:pStyle w:val="12"/>
              <w:spacing w:line="276" w:lineRule="auto"/>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是否退还磋商响应文件</w:t>
            </w:r>
          </w:p>
        </w:tc>
        <w:tc>
          <w:tcPr>
            <w:tcW w:w="6520" w:type="dxa"/>
            <w:tcBorders>
              <w:right w:val="thickThinSmallGap" w:color="auto" w:sz="18" w:space="0"/>
            </w:tcBorders>
            <w:noWrap/>
            <w:vAlign w:val="center"/>
          </w:tcPr>
          <w:p>
            <w:pPr>
              <w:pStyle w:val="12"/>
              <w:spacing w:line="276" w:lineRule="auto"/>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不予退还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color w:val="auto"/>
                <w:kern w:val="0"/>
                <w:szCs w:val="21"/>
                <w:highlight w:val="none"/>
              </w:rPr>
            </w:pPr>
            <w:r>
              <w:rPr>
                <w:rFonts w:hint="eastAsia" w:ascii="Times New Roman" w:hAnsi="Times New Roman" w:eastAsia="宋体" w:cs="Times New Roman"/>
                <w:color w:val="auto"/>
                <w:kern w:val="0"/>
                <w:szCs w:val="21"/>
                <w:highlight w:val="none"/>
              </w:rPr>
              <w:t>19</w:t>
            </w:r>
          </w:p>
        </w:tc>
        <w:tc>
          <w:tcPr>
            <w:tcW w:w="1843" w:type="dxa"/>
            <w:noWrap/>
            <w:vAlign w:val="center"/>
          </w:tcPr>
          <w:p>
            <w:pPr>
              <w:pStyle w:val="12"/>
              <w:spacing w:line="276" w:lineRule="auto"/>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磋商时间和地点</w:t>
            </w:r>
          </w:p>
        </w:tc>
        <w:tc>
          <w:tcPr>
            <w:tcW w:w="6520" w:type="dxa"/>
            <w:tcBorders>
              <w:right w:val="thickThinSmallGap" w:color="auto" w:sz="18" w:space="0"/>
            </w:tcBorders>
            <w:noWrap/>
            <w:vAlign w:val="center"/>
          </w:tcPr>
          <w:p>
            <w:pPr>
              <w:pStyle w:val="12"/>
              <w:spacing w:line="276" w:lineRule="auto"/>
              <w:rPr>
                <w:rFonts w:ascii="Times New Roman" w:hAnsi="Times New Roman" w:cs="Times New Roman"/>
                <w:color w:val="auto"/>
                <w:highlight w:val="none"/>
              </w:rPr>
            </w:pPr>
            <w:r>
              <w:rPr>
                <w:rFonts w:ascii="Times New Roman" w:hAnsi="Times New Roman" w:cs="Times New Roman"/>
                <w:color w:val="auto"/>
                <w:highlight w:val="none"/>
              </w:rPr>
              <w:t>202</w:t>
            </w:r>
            <w:r>
              <w:rPr>
                <w:rFonts w:hint="eastAsia" w:ascii="Times New Roman" w:hAnsi="Times New Roman" w:cs="Times New Roman"/>
                <w:color w:val="auto"/>
                <w:highlight w:val="none"/>
              </w:rPr>
              <w:t>3</w:t>
            </w:r>
            <w:r>
              <w:rPr>
                <w:rFonts w:ascii="Times New Roman" w:hAnsi="Times New Roman" w:cs="Times New Roman"/>
                <w:color w:val="auto"/>
                <w:highlight w:val="none"/>
              </w:rPr>
              <w:t>年</w:t>
            </w:r>
            <w:r>
              <w:rPr>
                <w:rFonts w:hint="eastAsia" w:ascii="Times New Roman" w:hAnsi="Times New Roman" w:cs="Times New Roman"/>
                <w:color w:val="auto"/>
                <w:highlight w:val="none"/>
              </w:rPr>
              <w:t>1</w:t>
            </w:r>
            <w:r>
              <w:rPr>
                <w:rFonts w:ascii="Times New Roman" w:hAnsi="Times New Roman" w:cs="Times New Roman"/>
                <w:color w:val="auto"/>
                <w:highlight w:val="none"/>
              </w:rPr>
              <w:t>月</w:t>
            </w:r>
            <w:r>
              <w:rPr>
                <w:rFonts w:hint="eastAsia" w:ascii="Times New Roman" w:hAnsi="Times New Roman" w:cs="Times New Roman"/>
                <w:color w:val="auto"/>
                <w:highlight w:val="none"/>
                <w:lang w:val="en-US" w:eastAsia="zh-CN"/>
              </w:rPr>
              <w:t>19</w:t>
            </w:r>
            <w:r>
              <w:rPr>
                <w:rFonts w:ascii="Times New Roman" w:hAnsi="Times New Roman" w:cs="Times New Roman"/>
                <w:color w:val="auto"/>
                <w:highlight w:val="none"/>
              </w:rPr>
              <w:t>日</w:t>
            </w:r>
            <w:r>
              <w:rPr>
                <w:rFonts w:hint="eastAsia" w:ascii="Times New Roman" w:hAnsi="Times New Roman" w:cs="Times New Roman"/>
                <w:color w:val="auto"/>
                <w:highlight w:val="none"/>
              </w:rPr>
              <w:t>09</w:t>
            </w:r>
            <w:r>
              <w:rPr>
                <w:rFonts w:ascii="Times New Roman" w:hAnsi="Times New Roman" w:cs="Times New Roman"/>
                <w:color w:val="auto"/>
                <w:highlight w:val="none"/>
              </w:rPr>
              <w:t>点30 分（北京时间）</w:t>
            </w:r>
          </w:p>
          <w:p>
            <w:pPr>
              <w:pStyle w:val="12"/>
              <w:spacing w:line="276" w:lineRule="auto"/>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楚雄医药高等专科学校远志楼</w:t>
            </w:r>
            <w:r>
              <w:rPr>
                <w:rFonts w:hint="default" w:ascii="Times New Roman" w:hAnsi="Times New Roman" w:eastAsia="宋体" w:cs="Times New Roman"/>
                <w:color w:val="auto"/>
                <w:szCs w:val="21"/>
                <w:highlight w:val="none"/>
              </w:rPr>
              <w:t>811</w:t>
            </w:r>
            <w:r>
              <w:rPr>
                <w:rFonts w:hint="eastAsia" w:ascii="Times New Roman" w:hAnsi="Times New Roman" w:eastAsia="宋体" w:cs="Times New Roman"/>
                <w:color w:val="auto"/>
                <w:szCs w:val="21"/>
                <w:highlight w:val="none"/>
              </w:rPr>
              <w:t>保卫处会议室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color w:val="auto"/>
                <w:kern w:val="0"/>
                <w:szCs w:val="21"/>
                <w:highlight w:val="none"/>
              </w:rPr>
            </w:pPr>
            <w:r>
              <w:rPr>
                <w:rFonts w:ascii="Times New Roman" w:hAnsi="Times New Roman" w:eastAsia="宋体" w:cs="Times New Roman"/>
                <w:color w:val="auto"/>
                <w:kern w:val="0"/>
                <w:szCs w:val="21"/>
                <w:highlight w:val="none"/>
              </w:rPr>
              <w:t>2</w:t>
            </w:r>
            <w:r>
              <w:rPr>
                <w:rFonts w:hint="eastAsia" w:ascii="Times New Roman" w:hAnsi="Times New Roman" w:eastAsia="宋体" w:cs="Times New Roman"/>
                <w:color w:val="auto"/>
                <w:kern w:val="0"/>
                <w:szCs w:val="21"/>
                <w:highlight w:val="none"/>
              </w:rPr>
              <w:t>0</w:t>
            </w:r>
          </w:p>
        </w:tc>
        <w:tc>
          <w:tcPr>
            <w:tcW w:w="1843" w:type="dxa"/>
            <w:noWrap/>
            <w:vAlign w:val="center"/>
          </w:tcPr>
          <w:p>
            <w:pPr>
              <w:pStyle w:val="12"/>
              <w:spacing w:line="276" w:lineRule="auto"/>
              <w:rPr>
                <w:rFonts w:ascii="Times New Roman" w:hAnsi="Times New Roman" w:eastAsia="宋体" w:cs="Times New Roman"/>
                <w:color w:val="auto"/>
                <w:kern w:val="0"/>
                <w:szCs w:val="21"/>
                <w:highlight w:val="none"/>
              </w:rPr>
            </w:pPr>
            <w:r>
              <w:rPr>
                <w:rFonts w:hAnsi="宋体"/>
                <w:color w:val="auto"/>
                <w:szCs w:val="21"/>
                <w:highlight w:val="none"/>
              </w:rPr>
              <w:t>磋商程序和方法</w:t>
            </w:r>
          </w:p>
        </w:tc>
        <w:tc>
          <w:tcPr>
            <w:tcW w:w="6520" w:type="dxa"/>
            <w:tcBorders>
              <w:right w:val="thickThinSmallGap" w:color="auto" w:sz="18" w:space="0"/>
            </w:tcBorders>
            <w:noWrap/>
            <w:vAlign w:val="center"/>
          </w:tcPr>
          <w:p>
            <w:pPr>
              <w:pStyle w:val="12"/>
              <w:spacing w:line="276" w:lineRule="auto"/>
              <w:rPr>
                <w:rFonts w:ascii="Times New Roman" w:hAnsi="Times New Roman" w:eastAsia="宋体" w:cs="Times New Roman"/>
                <w:color w:val="auto"/>
                <w:szCs w:val="21"/>
                <w:highlight w:val="none"/>
              </w:rPr>
            </w:pPr>
            <w:r>
              <w:rPr>
                <w:rFonts w:hint="eastAsia" w:hAnsi="宋体"/>
                <w:color w:val="auto"/>
                <w:szCs w:val="21"/>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color w:val="auto"/>
                <w:kern w:val="0"/>
                <w:szCs w:val="21"/>
                <w:highlight w:val="none"/>
              </w:rPr>
            </w:pPr>
            <w:bookmarkStart w:id="54" w:name="_Toc24244_WPSOffice_Level1"/>
            <w:bookmarkStart w:id="55" w:name="_Toc60996677"/>
            <w:bookmarkStart w:id="56" w:name="_Toc9300_WPSOffice_Level1"/>
            <w:bookmarkStart w:id="57" w:name="_Toc25948_WPSOffice_Level2"/>
            <w:bookmarkStart w:id="58" w:name="__x000F_一、总__则"/>
            <w:r>
              <w:rPr>
                <w:rFonts w:hint="eastAsia" w:ascii="Times New Roman" w:hAnsi="Times New Roman" w:eastAsia="宋体" w:cs="Times New Roman"/>
                <w:color w:val="auto"/>
                <w:kern w:val="0"/>
                <w:szCs w:val="21"/>
                <w:highlight w:val="none"/>
              </w:rPr>
              <w:t>21</w:t>
            </w:r>
          </w:p>
        </w:tc>
        <w:tc>
          <w:tcPr>
            <w:tcW w:w="1843" w:type="dxa"/>
            <w:noWrap/>
            <w:vAlign w:val="center"/>
          </w:tcPr>
          <w:p>
            <w:pPr>
              <w:pStyle w:val="12"/>
              <w:rPr>
                <w:rFonts w:ascii="Times New Roman" w:hAnsi="Times New Roman" w:eastAsia="宋体" w:cs="Times New Roman"/>
                <w:color w:val="auto"/>
                <w:kern w:val="0"/>
                <w:szCs w:val="21"/>
                <w:highlight w:val="none"/>
              </w:rPr>
            </w:pPr>
            <w:r>
              <w:rPr>
                <w:rFonts w:ascii="Times New Roman" w:hAnsi="Times New Roman" w:cs="Times New Roman"/>
                <w:color w:val="auto"/>
                <w:szCs w:val="21"/>
                <w:highlight w:val="none"/>
              </w:rPr>
              <w:t>响应文件打印、签字及盖章要求</w:t>
            </w:r>
          </w:p>
        </w:tc>
        <w:tc>
          <w:tcPr>
            <w:tcW w:w="6520" w:type="dxa"/>
            <w:tcBorders>
              <w:right w:val="thickThinSmallGap" w:color="auto" w:sz="18" w:space="0"/>
            </w:tcBorders>
            <w:noWrap/>
            <w:vAlign w:val="center"/>
          </w:tcPr>
          <w:p>
            <w:pPr>
              <w:pStyle w:val="12"/>
              <w:spacing w:line="276" w:lineRule="auto"/>
              <w:rPr>
                <w:rFonts w:ascii="Times New Roman" w:hAnsi="Times New Roman" w:eastAsia="宋体" w:cs="Times New Roman"/>
                <w:color w:val="auto"/>
                <w:szCs w:val="21"/>
                <w:highlight w:val="none"/>
              </w:rPr>
            </w:pPr>
            <w:r>
              <w:rPr>
                <w:rFonts w:ascii="Times New Roman" w:hAnsi="Times New Roman" w:cs="Times New Roman"/>
                <w:color w:val="auto"/>
                <w:szCs w:val="21"/>
                <w:highlight w:val="none"/>
              </w:rPr>
              <w:t>响应文件采用A4纸打印，所有要求</w:t>
            </w:r>
            <w:r>
              <w:rPr>
                <w:rFonts w:hint="eastAsia" w:ascii="Times New Roman" w:hAnsi="Times New Roman" w:cs="Times New Roman"/>
                <w:color w:val="auto"/>
                <w:szCs w:val="21"/>
                <w:highlight w:val="none"/>
              </w:rPr>
              <w:t>供应商</w:t>
            </w:r>
            <w:r>
              <w:rPr>
                <w:rFonts w:ascii="Times New Roman" w:hAnsi="Times New Roman" w:cs="Times New Roman"/>
                <w:color w:val="auto"/>
                <w:szCs w:val="21"/>
                <w:highlight w:val="none"/>
              </w:rPr>
              <w:t>盖章的地方都须加盖</w:t>
            </w:r>
            <w:r>
              <w:rPr>
                <w:rFonts w:hint="eastAsia" w:ascii="Times New Roman" w:hAnsi="Times New Roman" w:cs="Times New Roman"/>
                <w:color w:val="auto"/>
                <w:szCs w:val="21"/>
                <w:highlight w:val="none"/>
              </w:rPr>
              <w:t>供应商</w:t>
            </w:r>
            <w:r>
              <w:rPr>
                <w:rFonts w:ascii="Times New Roman" w:hAnsi="Times New Roman" w:cs="Times New Roman"/>
                <w:color w:val="auto"/>
                <w:szCs w:val="21"/>
                <w:highlight w:val="none"/>
              </w:rPr>
              <w:t>单位公章；要求法定代表人（负责人）或其委托代理人签字或盖章的地方都必须亲笔签名或盖章，盖章及签字须清晰可辨。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color w:val="auto"/>
                <w:kern w:val="0"/>
                <w:szCs w:val="21"/>
                <w:highlight w:val="none"/>
              </w:rPr>
            </w:pPr>
            <w:r>
              <w:rPr>
                <w:rFonts w:hint="eastAsia" w:ascii="Times New Roman" w:hAnsi="Times New Roman" w:eastAsia="宋体" w:cs="Times New Roman"/>
                <w:color w:val="auto"/>
                <w:kern w:val="0"/>
                <w:szCs w:val="21"/>
                <w:highlight w:val="none"/>
              </w:rPr>
              <w:t>22</w:t>
            </w:r>
          </w:p>
        </w:tc>
        <w:tc>
          <w:tcPr>
            <w:tcW w:w="1843" w:type="dxa"/>
            <w:noWrap/>
            <w:vAlign w:val="center"/>
          </w:tcPr>
          <w:p>
            <w:pPr>
              <w:pStyle w:val="12"/>
              <w:rPr>
                <w:rFonts w:ascii="Times New Roman" w:hAnsi="Times New Roman" w:cs="Times New Roman"/>
                <w:color w:val="auto"/>
                <w:szCs w:val="21"/>
                <w:highlight w:val="none"/>
              </w:rPr>
            </w:pPr>
            <w:r>
              <w:rPr>
                <w:rFonts w:ascii="Times New Roman" w:hAnsi="Times New Roman" w:cs="Times New Roman"/>
                <w:color w:val="auto"/>
                <w:szCs w:val="21"/>
                <w:highlight w:val="none"/>
              </w:rPr>
              <w:t>响应文件密封、装订要求</w:t>
            </w:r>
          </w:p>
        </w:tc>
        <w:tc>
          <w:tcPr>
            <w:tcW w:w="6520" w:type="dxa"/>
            <w:tcBorders>
              <w:right w:val="thickThinSmallGap" w:color="auto" w:sz="18" w:space="0"/>
            </w:tcBorders>
            <w:noWrap/>
            <w:vAlign w:val="center"/>
          </w:tcPr>
          <w:p>
            <w:pPr>
              <w:pStyle w:val="12"/>
              <w:spacing w:line="276" w:lineRule="auto"/>
              <w:rPr>
                <w:rFonts w:ascii="Times New Roman" w:hAnsi="Times New Roman" w:cs="Times New Roman"/>
                <w:color w:val="auto"/>
                <w:szCs w:val="21"/>
                <w:highlight w:val="none"/>
              </w:rPr>
            </w:pPr>
            <w:r>
              <w:rPr>
                <w:rFonts w:ascii="Times New Roman" w:hAnsi="Times New Roman" w:cs="Times New Roman"/>
                <w:color w:val="auto"/>
                <w:szCs w:val="21"/>
                <w:highlight w:val="none"/>
              </w:rPr>
              <w:t>响应文件正本与副本应分别装订成册，并编制目录；响应文件装订应牢固，不得采用活页夹，并要求逐页标注连续页码；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color w:val="auto"/>
                <w:kern w:val="0"/>
                <w:szCs w:val="21"/>
                <w:highlight w:val="none"/>
              </w:rPr>
            </w:pPr>
            <w:r>
              <w:rPr>
                <w:rFonts w:hint="eastAsia" w:ascii="Times New Roman" w:hAnsi="Times New Roman" w:eastAsia="宋体" w:cs="Times New Roman"/>
                <w:color w:val="auto"/>
                <w:kern w:val="0"/>
                <w:szCs w:val="21"/>
                <w:highlight w:val="none"/>
              </w:rPr>
              <w:t>23</w:t>
            </w:r>
          </w:p>
        </w:tc>
        <w:tc>
          <w:tcPr>
            <w:tcW w:w="1843" w:type="dxa"/>
            <w:noWrap/>
            <w:vAlign w:val="center"/>
          </w:tcPr>
          <w:p>
            <w:pPr>
              <w:jc w:val="center"/>
              <w:rPr>
                <w:rFonts w:ascii="Times New Roman" w:hAnsi="Times New Roman" w:cs="Times New Roman"/>
                <w:color w:val="auto"/>
                <w:szCs w:val="21"/>
                <w:highlight w:val="none"/>
              </w:rPr>
            </w:pPr>
            <w:r>
              <w:rPr>
                <w:rFonts w:ascii="Times New Roman" w:hAnsi="Times New Roman" w:cs="Times New Roman"/>
                <w:color w:val="auto"/>
                <w:szCs w:val="21"/>
                <w:highlight w:val="none"/>
              </w:rPr>
              <w:t>响应文件的密封与标记</w:t>
            </w:r>
          </w:p>
        </w:tc>
        <w:tc>
          <w:tcPr>
            <w:tcW w:w="6520" w:type="dxa"/>
            <w:tcBorders>
              <w:right w:val="thickThinSmallGap" w:color="auto" w:sz="18" w:space="0"/>
            </w:tcBorders>
            <w:noWrap/>
            <w:vAlign w:val="center"/>
          </w:tcPr>
          <w:p>
            <w:pPr>
              <w:adjustRightInd w:val="0"/>
              <w:snapToGrid w:val="0"/>
              <w:spacing w:line="276" w:lineRule="auto"/>
              <w:jc w:val="left"/>
              <w:rPr>
                <w:rFonts w:ascii="Times New Roman" w:hAnsi="Times New Roman" w:cs="Times New Roman"/>
                <w:color w:val="auto"/>
                <w:szCs w:val="21"/>
                <w:highlight w:val="none"/>
              </w:rPr>
            </w:pPr>
            <w:r>
              <w:rPr>
                <w:rFonts w:ascii="Times New Roman" w:hAnsi="Times New Roman" w:cs="Times New Roman"/>
                <w:color w:val="auto"/>
                <w:szCs w:val="21"/>
                <w:highlight w:val="none"/>
              </w:rPr>
              <w:t>响应文件正、副本应统一装入一个响应文件袋中加以密封，并在封贴处加盖公章或密封章；封面应注明项目名称、项目编号、</w:t>
            </w:r>
            <w:r>
              <w:rPr>
                <w:rFonts w:hint="eastAsia" w:ascii="Times New Roman" w:hAnsi="Times New Roman" w:cs="Times New Roman"/>
                <w:color w:val="auto"/>
                <w:szCs w:val="21"/>
                <w:highlight w:val="none"/>
              </w:rPr>
              <w:t>供应商</w:t>
            </w:r>
            <w:r>
              <w:rPr>
                <w:rFonts w:ascii="Times New Roman" w:hAnsi="Times New Roman" w:cs="Times New Roman"/>
                <w:color w:val="auto"/>
                <w:szCs w:val="21"/>
                <w:highlight w:val="none"/>
              </w:rPr>
              <w:t>名称、详细通讯地址、邮政编码。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color w:val="auto"/>
                <w:kern w:val="0"/>
                <w:szCs w:val="21"/>
                <w:highlight w:val="none"/>
              </w:rPr>
            </w:pPr>
            <w:r>
              <w:rPr>
                <w:rFonts w:hint="eastAsia" w:ascii="Times New Roman" w:hAnsi="Times New Roman" w:eastAsia="宋体" w:cs="Times New Roman"/>
                <w:color w:val="auto"/>
                <w:kern w:val="0"/>
                <w:szCs w:val="21"/>
                <w:highlight w:val="none"/>
              </w:rPr>
              <w:t>24</w:t>
            </w:r>
          </w:p>
        </w:tc>
        <w:tc>
          <w:tcPr>
            <w:tcW w:w="1843" w:type="dxa"/>
            <w:noWrap/>
            <w:vAlign w:val="center"/>
          </w:tcPr>
          <w:p>
            <w:pPr>
              <w:spacing w:line="300" w:lineRule="exact"/>
              <w:jc w:val="center"/>
              <w:rPr>
                <w:rFonts w:ascii="Times New Roman" w:hAnsi="Times New Roman" w:eastAsia="宋体" w:cs="Times New Roman"/>
                <w:color w:val="auto"/>
                <w:kern w:val="0"/>
                <w:szCs w:val="21"/>
                <w:highlight w:val="none"/>
              </w:rPr>
            </w:pPr>
            <w:r>
              <w:rPr>
                <w:rFonts w:hint="eastAsia" w:ascii="Times New Roman" w:hAnsi="Times New Roman" w:eastAsia="宋体" w:cs="Times New Roman"/>
                <w:color w:val="auto"/>
                <w:kern w:val="0"/>
                <w:szCs w:val="21"/>
                <w:highlight w:val="none"/>
              </w:rPr>
              <w:t>磋商</w:t>
            </w:r>
            <w:r>
              <w:rPr>
                <w:rFonts w:ascii="Times New Roman" w:hAnsi="Times New Roman" w:eastAsia="宋体" w:cs="Times New Roman"/>
                <w:color w:val="auto"/>
                <w:kern w:val="0"/>
                <w:szCs w:val="21"/>
                <w:highlight w:val="none"/>
              </w:rPr>
              <w:t>小组</w:t>
            </w:r>
          </w:p>
        </w:tc>
        <w:tc>
          <w:tcPr>
            <w:tcW w:w="6520" w:type="dxa"/>
            <w:tcBorders>
              <w:right w:val="thickThinSmallGap" w:color="auto" w:sz="18" w:space="0"/>
            </w:tcBorders>
            <w:noWrap/>
            <w:vAlign w:val="center"/>
          </w:tcPr>
          <w:p>
            <w:pPr>
              <w:spacing w:line="400" w:lineRule="exact"/>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磋商</w:t>
            </w:r>
            <w:r>
              <w:rPr>
                <w:rFonts w:ascii="Times New Roman" w:hAnsi="Times New Roman" w:eastAsia="宋体" w:cs="Times New Roman"/>
                <w:color w:val="auto"/>
                <w:szCs w:val="21"/>
                <w:highlight w:val="none"/>
              </w:rPr>
              <w:t>小组的构成：3人及以上单数。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color w:val="auto"/>
                <w:kern w:val="0"/>
                <w:szCs w:val="21"/>
                <w:highlight w:val="none"/>
              </w:rPr>
            </w:pPr>
            <w:r>
              <w:rPr>
                <w:rFonts w:hint="eastAsia" w:ascii="Times New Roman" w:hAnsi="Times New Roman" w:eastAsia="宋体" w:cs="Times New Roman"/>
                <w:color w:val="auto"/>
                <w:kern w:val="0"/>
                <w:szCs w:val="21"/>
                <w:highlight w:val="none"/>
              </w:rPr>
              <w:t>25</w:t>
            </w:r>
          </w:p>
        </w:tc>
        <w:tc>
          <w:tcPr>
            <w:tcW w:w="1843" w:type="dxa"/>
            <w:noWrap/>
            <w:vAlign w:val="center"/>
          </w:tcPr>
          <w:p>
            <w:pPr>
              <w:spacing w:line="400" w:lineRule="exact"/>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推荐的成交候选人数量</w:t>
            </w:r>
          </w:p>
        </w:tc>
        <w:tc>
          <w:tcPr>
            <w:tcW w:w="6520" w:type="dxa"/>
            <w:tcBorders>
              <w:right w:val="thickThinSmallGap" w:color="auto" w:sz="18" w:space="0"/>
            </w:tcBorders>
            <w:noWrap/>
            <w:vAlign w:val="center"/>
          </w:tcPr>
          <w:p>
            <w:pPr>
              <w:spacing w:line="400" w:lineRule="exact"/>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1名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color w:val="auto"/>
                <w:kern w:val="0"/>
                <w:szCs w:val="21"/>
                <w:highlight w:val="none"/>
              </w:rPr>
            </w:pPr>
            <w:r>
              <w:rPr>
                <w:rFonts w:hint="eastAsia" w:ascii="Times New Roman" w:hAnsi="Times New Roman" w:eastAsia="宋体" w:cs="Times New Roman"/>
                <w:color w:val="auto"/>
                <w:kern w:val="0"/>
                <w:szCs w:val="21"/>
                <w:highlight w:val="none"/>
              </w:rPr>
              <w:t>26</w:t>
            </w:r>
          </w:p>
        </w:tc>
        <w:tc>
          <w:tcPr>
            <w:tcW w:w="1843" w:type="dxa"/>
            <w:noWrap/>
            <w:vAlign w:val="center"/>
          </w:tcPr>
          <w:p>
            <w:pPr>
              <w:jc w:val="center"/>
              <w:rPr>
                <w:rFonts w:ascii="Times New Roman" w:hAnsi="Times New Roman" w:eastAsia="宋体" w:cs="Times New Roman"/>
                <w:color w:val="auto"/>
                <w:kern w:val="0"/>
                <w:szCs w:val="21"/>
                <w:highlight w:val="none"/>
              </w:rPr>
            </w:pPr>
            <w:r>
              <w:rPr>
                <w:rFonts w:ascii="Times New Roman" w:hAnsi="Times New Roman" w:cs="Times New Roman"/>
                <w:color w:val="auto"/>
                <w:szCs w:val="21"/>
                <w:highlight w:val="none"/>
              </w:rPr>
              <w:t>履约保证金</w:t>
            </w:r>
          </w:p>
        </w:tc>
        <w:tc>
          <w:tcPr>
            <w:tcW w:w="6520" w:type="dxa"/>
            <w:tcBorders>
              <w:right w:val="thickThinSmallGap" w:color="auto" w:sz="18" w:space="0"/>
            </w:tcBorders>
            <w:noWrap/>
            <w:vAlign w:val="center"/>
          </w:tcPr>
          <w:p>
            <w:pPr>
              <w:spacing w:line="276" w:lineRule="auto"/>
              <w:jc w:val="left"/>
              <w:rPr>
                <w:rFonts w:ascii="Times New Roman" w:hAnsi="Times New Roman" w:cs="Times New Roman"/>
                <w:color w:val="auto"/>
                <w:kern w:val="0"/>
                <w:szCs w:val="21"/>
                <w:highlight w:val="none"/>
              </w:rPr>
            </w:pPr>
            <w:r>
              <w:rPr>
                <w:rFonts w:ascii="Times New Roman" w:hAnsi="Times New Roman" w:cs="Times New Roman"/>
                <w:color w:val="auto"/>
                <w:szCs w:val="21"/>
                <w:highlight w:val="none"/>
              </w:rPr>
              <w:t>金额：</w:t>
            </w:r>
            <w:r>
              <w:rPr>
                <w:rFonts w:hint="eastAsia" w:ascii="Times New Roman" w:hAnsi="Times New Roman" w:cs="Times New Roman"/>
                <w:color w:val="auto"/>
                <w:szCs w:val="21"/>
                <w:highlight w:val="none"/>
              </w:rPr>
              <w:t>合同金额的3%。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color w:val="auto"/>
                <w:kern w:val="0"/>
                <w:szCs w:val="21"/>
                <w:highlight w:val="none"/>
              </w:rPr>
            </w:pPr>
            <w:r>
              <w:rPr>
                <w:rFonts w:hint="eastAsia" w:ascii="Times New Roman" w:hAnsi="Times New Roman" w:eastAsia="宋体" w:cs="Times New Roman"/>
                <w:color w:val="auto"/>
                <w:kern w:val="0"/>
                <w:szCs w:val="21"/>
                <w:highlight w:val="none"/>
              </w:rPr>
              <w:t>27</w:t>
            </w:r>
          </w:p>
        </w:tc>
        <w:tc>
          <w:tcPr>
            <w:tcW w:w="1843" w:type="dxa"/>
            <w:noWrap/>
            <w:vAlign w:val="center"/>
          </w:tcPr>
          <w:p>
            <w:pPr>
              <w:jc w:val="center"/>
              <w:rPr>
                <w:rFonts w:ascii="Times New Roman" w:hAnsi="Times New Roman" w:cs="Times New Roman"/>
                <w:color w:val="auto"/>
                <w:szCs w:val="21"/>
                <w:highlight w:val="none"/>
              </w:rPr>
            </w:pPr>
            <w:r>
              <w:rPr>
                <w:rFonts w:ascii="Times New Roman" w:hAnsi="Times New Roman" w:cs="Times New Roman"/>
                <w:color w:val="auto"/>
                <w:szCs w:val="21"/>
                <w:highlight w:val="none"/>
              </w:rPr>
              <w:t>实质性要求和条件</w:t>
            </w:r>
          </w:p>
        </w:tc>
        <w:tc>
          <w:tcPr>
            <w:tcW w:w="6520" w:type="dxa"/>
            <w:tcBorders>
              <w:right w:val="thickThinSmallGap" w:color="auto" w:sz="18" w:space="0"/>
            </w:tcBorders>
            <w:noWrap/>
            <w:vAlign w:val="center"/>
          </w:tcPr>
          <w:p>
            <w:pPr>
              <w:spacing w:line="276" w:lineRule="auto"/>
              <w:jc w:val="left"/>
              <w:rPr>
                <w:rFonts w:ascii="Times New Roman" w:hAnsi="Times New Roman" w:cs="Times New Roman"/>
                <w:color w:val="auto"/>
                <w:szCs w:val="21"/>
                <w:highlight w:val="none"/>
              </w:rPr>
            </w:pPr>
            <w:r>
              <w:rPr>
                <w:rFonts w:ascii="Times New Roman" w:hAnsi="Times New Roman" w:cs="Times New Roman"/>
                <w:color w:val="auto"/>
                <w:szCs w:val="21"/>
                <w:highlight w:val="none"/>
              </w:rPr>
              <w:t>第六章“磋商程序及方法”第2.1款初步评审标准规定的内容及本磋商文件中规定的要求内容，请各</w:t>
            </w:r>
            <w:r>
              <w:rPr>
                <w:rFonts w:hint="eastAsia" w:ascii="Times New Roman" w:hAnsi="Times New Roman" w:cs="Times New Roman"/>
                <w:color w:val="auto"/>
                <w:szCs w:val="21"/>
                <w:highlight w:val="none"/>
              </w:rPr>
              <w:t>供应商</w:t>
            </w:r>
            <w:r>
              <w:rPr>
                <w:rFonts w:ascii="Times New Roman" w:hAnsi="Times New Roman" w:cs="Times New Roman"/>
                <w:color w:val="auto"/>
                <w:szCs w:val="21"/>
                <w:highlight w:val="none"/>
              </w:rPr>
              <w:t>仔细阅读初磋商文件。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atLeast"/>
        </w:trPr>
        <w:tc>
          <w:tcPr>
            <w:tcW w:w="709" w:type="dxa"/>
            <w:tcBorders>
              <w:left w:val="thinThickSmallGap" w:color="auto" w:sz="18" w:space="0"/>
            </w:tcBorders>
            <w:noWrap/>
            <w:vAlign w:val="center"/>
          </w:tcPr>
          <w:p>
            <w:pPr>
              <w:spacing w:line="300" w:lineRule="exact"/>
              <w:jc w:val="center"/>
              <w:rPr>
                <w:rFonts w:ascii="Times New Roman" w:hAnsi="Times New Roman" w:eastAsia="宋体" w:cs="Times New Roman"/>
                <w:color w:val="auto"/>
                <w:kern w:val="0"/>
                <w:szCs w:val="21"/>
                <w:highlight w:val="none"/>
              </w:rPr>
            </w:pPr>
            <w:r>
              <w:rPr>
                <w:rFonts w:hint="eastAsia" w:ascii="Times New Roman" w:hAnsi="Times New Roman" w:eastAsia="宋体" w:cs="Times New Roman"/>
                <w:color w:val="auto"/>
                <w:kern w:val="0"/>
                <w:szCs w:val="21"/>
                <w:highlight w:val="none"/>
              </w:rPr>
              <w:t>28</w:t>
            </w:r>
          </w:p>
        </w:tc>
        <w:tc>
          <w:tcPr>
            <w:tcW w:w="1843" w:type="dxa"/>
            <w:noWrap/>
            <w:vAlign w:val="center"/>
          </w:tcPr>
          <w:p>
            <w:pPr>
              <w:spacing w:line="300" w:lineRule="exact"/>
              <w:jc w:val="center"/>
              <w:rPr>
                <w:rFonts w:ascii="Times New Roman" w:hAnsi="Times New Roman" w:eastAsia="宋体" w:cs="Times New Roman"/>
                <w:color w:val="auto"/>
                <w:kern w:val="0"/>
                <w:szCs w:val="21"/>
                <w:highlight w:val="none"/>
              </w:rPr>
            </w:pPr>
            <w:r>
              <w:rPr>
                <w:rFonts w:ascii="Times New Roman" w:hAnsi="Times New Roman" w:cs="Times New Roman"/>
                <w:color w:val="auto"/>
                <w:szCs w:val="21"/>
                <w:highlight w:val="none"/>
              </w:rPr>
              <w:t>需要补充的其他内容</w:t>
            </w:r>
          </w:p>
        </w:tc>
        <w:tc>
          <w:tcPr>
            <w:tcW w:w="6520" w:type="dxa"/>
            <w:tcBorders>
              <w:right w:val="thickThinSmallGap" w:color="auto" w:sz="18" w:space="0"/>
            </w:tcBorders>
            <w:noWrap/>
          </w:tcPr>
          <w:p>
            <w:pPr>
              <w:pStyle w:val="12"/>
              <w:adjustRightInd w:val="0"/>
              <w:snapToGrid w:val="0"/>
              <w:spacing w:line="276" w:lineRule="auto"/>
              <w:jc w:val="left"/>
              <w:rPr>
                <w:rFonts w:ascii="Times New Roman" w:hAnsi="Times New Roman" w:cs="Times New Roman"/>
                <w:color w:val="auto"/>
                <w:szCs w:val="21"/>
                <w:highlight w:val="none"/>
              </w:rPr>
            </w:pPr>
            <w:r>
              <w:rPr>
                <w:rFonts w:hint="eastAsia" w:ascii="Times New Roman" w:hAnsi="Times New Roman" w:cs="Times New Roman"/>
                <w:color w:val="auto"/>
                <w:szCs w:val="21"/>
                <w:highlight w:val="none"/>
              </w:rPr>
              <w:t>1.</w:t>
            </w:r>
            <w:r>
              <w:rPr>
                <w:rFonts w:ascii="Times New Roman" w:hAnsi="Times New Roman" w:cs="Times New Roman"/>
                <w:color w:val="auto"/>
                <w:szCs w:val="21"/>
                <w:highlight w:val="none"/>
              </w:rPr>
              <w:t>不接受联合体投标，整体报价，整体中标，不允许拆包、分包，否则合同视为无效。</w:t>
            </w:r>
          </w:p>
          <w:p>
            <w:pPr>
              <w:spacing w:line="400" w:lineRule="exact"/>
              <w:rPr>
                <w:rFonts w:ascii="Times New Roman" w:hAnsi="Times New Roman" w:eastAsia="宋体" w:cs="Times New Roman"/>
                <w:color w:val="auto"/>
                <w:szCs w:val="21"/>
                <w:highlight w:val="none"/>
              </w:rPr>
            </w:pPr>
            <w:r>
              <w:rPr>
                <w:rFonts w:hint="eastAsia" w:ascii="Times New Roman" w:hAnsi="Times New Roman" w:cs="Times New Roman"/>
                <w:color w:val="auto"/>
                <w:szCs w:val="21"/>
                <w:highlight w:val="none"/>
              </w:rPr>
              <w:t>3.</w:t>
            </w:r>
            <w:r>
              <w:rPr>
                <w:rFonts w:ascii="Times New Roman" w:hAnsi="Times New Roman" w:cs="Times New Roman"/>
                <w:color w:val="auto"/>
                <w:szCs w:val="21"/>
                <w:highlight w:val="none"/>
              </w:rPr>
              <w:t>不保证低价者一定中标</w:t>
            </w:r>
            <w:r>
              <w:rPr>
                <w:rFonts w:hint="eastAsia" w:ascii="Times New Roman" w:hAnsi="Times New Roman" w:cs="Times New Roman"/>
                <w:color w:val="auto"/>
                <w:szCs w:val="21"/>
                <w:highlight w:val="none"/>
              </w:rPr>
              <w:t>。</w:t>
            </w:r>
          </w:p>
        </w:tc>
      </w:tr>
      <w:bookmarkEnd w:id="53"/>
    </w:tbl>
    <w:p>
      <w:pPr>
        <w:keepNext/>
        <w:tabs>
          <w:tab w:val="left" w:pos="360"/>
          <w:tab w:val="left" w:pos="1021"/>
        </w:tabs>
        <w:adjustRightInd w:val="0"/>
        <w:spacing w:line="240" w:lineRule="atLeast"/>
        <w:textAlignment w:val="baseline"/>
        <w:outlineLvl w:val="1"/>
        <w:rPr>
          <w:rStyle w:val="29"/>
          <w:rFonts w:ascii="Times New Roman" w:hAnsi="Times New Roman" w:eastAsia="宋体" w:cs="Times New Roman"/>
          <w:color w:val="auto"/>
          <w:highlight w:val="none"/>
        </w:rPr>
      </w:pPr>
      <w:bookmarkStart w:id="59" w:name="_Toc7567"/>
      <w:r>
        <w:rPr>
          <w:rStyle w:val="29"/>
          <w:rFonts w:ascii="Times New Roman" w:hAnsi="Times New Roman" w:eastAsia="宋体" w:cs="Times New Roman"/>
          <w:color w:val="auto"/>
          <w:highlight w:val="none"/>
        </w:rPr>
        <w:t>2.1 总则</w:t>
      </w:r>
      <w:bookmarkEnd w:id="54"/>
      <w:bookmarkEnd w:id="55"/>
      <w:bookmarkEnd w:id="56"/>
      <w:bookmarkEnd w:id="57"/>
      <w:bookmarkEnd w:id="59"/>
    </w:p>
    <w:bookmarkEnd w:id="58"/>
    <w:p>
      <w:pPr>
        <w:spacing w:line="360" w:lineRule="auto"/>
        <w:ind w:firstLine="480" w:firstLineChars="200"/>
        <w:rPr>
          <w:rFonts w:ascii="Times New Roman" w:hAnsi="Times New Roman" w:eastAsia="宋体" w:cs="Times New Roman"/>
          <w:color w:val="auto"/>
          <w:sz w:val="24"/>
          <w:highlight w:val="none"/>
        </w:rPr>
      </w:pPr>
      <w:bookmarkStart w:id="60" w:name="_Toc28341"/>
      <w:r>
        <w:rPr>
          <w:rFonts w:ascii="Times New Roman" w:hAnsi="Times New Roman" w:eastAsia="宋体" w:cs="Times New Roman"/>
          <w:color w:val="auto"/>
          <w:sz w:val="24"/>
          <w:highlight w:val="none"/>
        </w:rPr>
        <w:t>1、项目概况</w:t>
      </w:r>
      <w:bookmarkEnd w:id="60"/>
    </w:p>
    <w:p>
      <w:pPr>
        <w:spacing w:line="360" w:lineRule="auto"/>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为保证采购人食堂餐具清洁、安全并统一管理，楚雄医药高等专科学校受采购人</w:t>
      </w:r>
      <w:r>
        <w:rPr>
          <w:rFonts w:hint="eastAsia" w:ascii="Times New Roman" w:hAnsi="Times New Roman" w:eastAsia="宋体" w:cs="Times New Roman"/>
          <w:color w:val="auto"/>
          <w:sz w:val="24"/>
          <w:highlight w:val="none"/>
          <w:lang w:eastAsia="zh-CN"/>
        </w:rPr>
        <w:t>（楚雄医药高等专科学校各食堂餐饮管理服务机构及委托经营人）</w:t>
      </w:r>
      <w:r>
        <w:rPr>
          <w:rFonts w:hint="eastAsia" w:ascii="Times New Roman" w:hAnsi="Times New Roman" w:eastAsia="宋体" w:cs="Times New Roman"/>
          <w:color w:val="auto"/>
          <w:sz w:val="24"/>
          <w:highlight w:val="none"/>
        </w:rPr>
        <w:t>委托，</w:t>
      </w:r>
      <w:r>
        <w:rPr>
          <w:rFonts w:ascii="Times New Roman" w:hAnsi="Times New Roman" w:eastAsia="宋体" w:cs="Times New Roman"/>
          <w:color w:val="auto"/>
          <w:sz w:val="24"/>
          <w:highlight w:val="none"/>
        </w:rPr>
        <w:t>根据《中华人民共和国政府采购法》、《中华人民共和国政府采购法实施条例》、《政府采购竞争性磋商采购方式管理暂行办法》等政府采购有关规定，</w:t>
      </w:r>
      <w:r>
        <w:rPr>
          <w:rFonts w:hint="eastAsia" w:ascii="Times New Roman" w:hAnsi="Times New Roman" w:eastAsia="宋体" w:cs="Times New Roman"/>
          <w:color w:val="auto"/>
          <w:sz w:val="24"/>
          <w:highlight w:val="none"/>
        </w:rPr>
        <w:t>本项目采取竞争性磋商的方式进行采购</w:t>
      </w:r>
      <w:r>
        <w:rPr>
          <w:rFonts w:ascii="Times New Roman" w:hAnsi="Times New Roman" w:eastAsia="宋体" w:cs="Times New Roman"/>
          <w:color w:val="auto"/>
          <w:sz w:val="24"/>
          <w:highlight w:val="none"/>
        </w:rPr>
        <w:t>。</w:t>
      </w:r>
      <w:r>
        <w:rPr>
          <w:rFonts w:ascii="Times New Roman" w:hAnsi="Times New Roman" w:eastAsia="宋体" w:cs="Times New Roman"/>
          <w:color w:val="auto"/>
          <w:sz w:val="24"/>
          <w:highlight w:val="none"/>
        </w:rPr>
        <w:t>采购人、项目名称及项目编号：见“供应商须知前附表”。</w:t>
      </w:r>
    </w:p>
    <w:p>
      <w:pPr>
        <w:spacing w:line="360" w:lineRule="auto"/>
        <w:ind w:firstLine="480" w:firstLineChars="200"/>
        <w:rPr>
          <w:rFonts w:ascii="Times New Roman" w:hAnsi="Times New Roman" w:eastAsia="宋体" w:cs="Times New Roman"/>
          <w:color w:val="auto"/>
          <w:sz w:val="24"/>
          <w:highlight w:val="none"/>
        </w:rPr>
      </w:pPr>
      <w:bookmarkStart w:id="61" w:name="_Toc10402"/>
      <w:bookmarkStart w:id="62" w:name="_Toc468805854"/>
      <w:r>
        <w:rPr>
          <w:rFonts w:hint="eastAsia" w:ascii="Times New Roman" w:hAnsi="Times New Roman" w:eastAsia="宋体" w:cs="Times New Roman"/>
          <w:color w:val="auto"/>
          <w:sz w:val="24"/>
          <w:highlight w:val="none"/>
        </w:rPr>
        <w:t>2</w:t>
      </w:r>
      <w:r>
        <w:rPr>
          <w:rFonts w:ascii="Times New Roman" w:hAnsi="Times New Roman" w:eastAsia="宋体" w:cs="Times New Roman"/>
          <w:color w:val="auto"/>
          <w:sz w:val="24"/>
          <w:highlight w:val="none"/>
        </w:rPr>
        <w:t>、</w:t>
      </w:r>
      <w:bookmarkEnd w:id="61"/>
      <w:r>
        <w:rPr>
          <w:rFonts w:ascii="Times New Roman" w:hAnsi="Times New Roman" w:eastAsia="宋体" w:cs="Times New Roman"/>
          <w:color w:val="auto"/>
          <w:sz w:val="24"/>
          <w:highlight w:val="none"/>
        </w:rPr>
        <w:t>采购范围</w:t>
      </w:r>
    </w:p>
    <w:p>
      <w:pPr>
        <w:spacing w:line="360" w:lineRule="auto"/>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w:t>
      </w:r>
      <w:r>
        <w:rPr>
          <w:rFonts w:ascii="Times New Roman" w:hAnsi="Times New Roman" w:eastAsia="宋体" w:cs="Times New Roman"/>
          <w:color w:val="auto"/>
          <w:sz w:val="24"/>
          <w:highlight w:val="none"/>
        </w:rPr>
        <w:t>本项目采购内容：见“供应商须知前附表”。</w:t>
      </w:r>
    </w:p>
    <w:p>
      <w:pPr>
        <w:spacing w:line="360" w:lineRule="auto"/>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（2）</w:t>
      </w:r>
      <w:r>
        <w:rPr>
          <w:rFonts w:ascii="Times New Roman" w:hAnsi="Times New Roman" w:eastAsia="宋体" w:cs="Times New Roman"/>
          <w:color w:val="auto"/>
          <w:sz w:val="24"/>
          <w:highlight w:val="none"/>
        </w:rPr>
        <w:t>本项目</w:t>
      </w:r>
      <w:r>
        <w:rPr>
          <w:rFonts w:hint="eastAsia" w:ascii="Times New Roman" w:hAnsi="Times New Roman" w:eastAsia="宋体" w:cs="Times New Roman"/>
          <w:color w:val="auto"/>
          <w:sz w:val="24"/>
          <w:highlight w:val="none"/>
        </w:rPr>
        <w:t>服务</w:t>
      </w:r>
      <w:r>
        <w:rPr>
          <w:rFonts w:ascii="Times New Roman" w:hAnsi="Times New Roman" w:eastAsia="宋体" w:cs="Times New Roman"/>
          <w:color w:val="auto"/>
          <w:sz w:val="24"/>
          <w:highlight w:val="none"/>
        </w:rPr>
        <w:t>期限、</w:t>
      </w:r>
      <w:r>
        <w:rPr>
          <w:rFonts w:hint="eastAsia" w:ascii="Times New Roman" w:hAnsi="Times New Roman" w:eastAsia="宋体" w:cs="Times New Roman"/>
          <w:color w:val="auto"/>
          <w:sz w:val="24"/>
          <w:highlight w:val="none"/>
        </w:rPr>
        <w:t>服务</w:t>
      </w:r>
      <w:r>
        <w:rPr>
          <w:rFonts w:ascii="Times New Roman" w:hAnsi="Times New Roman" w:eastAsia="宋体" w:cs="Times New Roman"/>
          <w:color w:val="auto"/>
          <w:sz w:val="24"/>
          <w:highlight w:val="none"/>
        </w:rPr>
        <w:t>地点：见“供应商须知前附表”</w:t>
      </w:r>
    </w:p>
    <w:p>
      <w:pPr>
        <w:pStyle w:val="6"/>
        <w:ind w:firstLine="480"/>
        <w:rPr>
          <w:color w:val="auto"/>
          <w:highlight w:val="none"/>
        </w:rPr>
      </w:pPr>
      <w:r>
        <w:rPr>
          <w:rFonts w:hint="eastAsia" w:ascii="Times New Roman" w:hAnsi="Times New Roman" w:eastAsia="宋体" w:cs="Times New Roman"/>
          <w:color w:val="auto"/>
          <w:sz w:val="24"/>
          <w:highlight w:val="none"/>
        </w:rPr>
        <w:t>（3）采购预算：详见“供应商须知前附表”；</w:t>
      </w:r>
    </w:p>
    <w:p>
      <w:pPr>
        <w:spacing w:line="360" w:lineRule="auto"/>
        <w:ind w:firstLine="480" w:firstLineChars="200"/>
        <w:rPr>
          <w:rFonts w:ascii="Times New Roman" w:hAnsi="Times New Roman" w:eastAsia="宋体" w:cs="Times New Roman"/>
          <w:color w:val="auto"/>
          <w:sz w:val="24"/>
          <w:highlight w:val="none"/>
        </w:rPr>
      </w:pPr>
      <w:bookmarkStart w:id="63" w:name="_Toc10248"/>
      <w:r>
        <w:rPr>
          <w:rFonts w:hint="eastAsia" w:ascii="Times New Roman" w:hAnsi="Times New Roman" w:eastAsia="宋体" w:cs="Times New Roman"/>
          <w:color w:val="auto"/>
          <w:sz w:val="24"/>
          <w:highlight w:val="none"/>
        </w:rPr>
        <w:t>3</w:t>
      </w:r>
      <w:r>
        <w:rPr>
          <w:rFonts w:ascii="Times New Roman" w:hAnsi="Times New Roman" w:eastAsia="宋体" w:cs="Times New Roman"/>
          <w:color w:val="auto"/>
          <w:sz w:val="24"/>
          <w:highlight w:val="none"/>
        </w:rPr>
        <w:t>、</w:t>
      </w:r>
      <w:bookmarkEnd w:id="63"/>
      <w:r>
        <w:rPr>
          <w:rFonts w:ascii="Times New Roman" w:hAnsi="Times New Roman" w:eastAsia="宋体" w:cs="Times New Roman"/>
          <w:color w:val="auto"/>
          <w:sz w:val="24"/>
          <w:highlight w:val="none"/>
        </w:rPr>
        <w:t>合格的供应商（以下简称供应商）</w:t>
      </w:r>
    </w:p>
    <w:p>
      <w:pPr>
        <w:spacing w:line="360" w:lineRule="auto"/>
        <w:ind w:firstLine="720" w:firstLineChars="300"/>
        <w:rPr>
          <w:rFonts w:ascii="Times New Roman" w:hAnsi="Times New Roman" w:eastAsia="宋体" w:cs="Times New Roman"/>
          <w:color w:val="auto"/>
          <w:sz w:val="24"/>
          <w:highlight w:val="none"/>
        </w:rPr>
      </w:pPr>
      <w:bookmarkStart w:id="64" w:name="_Hlt200176664"/>
      <w:bookmarkEnd w:id="64"/>
      <w:r>
        <w:rPr>
          <w:rFonts w:hint="eastAsia" w:ascii="Times New Roman" w:hAnsi="Times New Roman" w:eastAsia="宋体" w:cs="Times New Roman"/>
          <w:color w:val="auto"/>
          <w:sz w:val="24"/>
          <w:highlight w:val="none"/>
        </w:rPr>
        <w:t>（1）</w:t>
      </w:r>
      <w:r>
        <w:rPr>
          <w:rFonts w:ascii="Times New Roman" w:hAnsi="Times New Roman" w:eastAsia="宋体" w:cs="Times New Roman"/>
          <w:color w:val="auto"/>
          <w:sz w:val="24"/>
          <w:highlight w:val="none"/>
        </w:rPr>
        <w:t>供应商应当符合《中华人民共和国政府采购法》第二十二条规定的条件。</w:t>
      </w:r>
    </w:p>
    <w:p>
      <w:pPr>
        <w:spacing w:line="360" w:lineRule="auto"/>
        <w:ind w:firstLine="720" w:firstLineChars="3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（2）</w:t>
      </w:r>
      <w:r>
        <w:rPr>
          <w:rFonts w:ascii="Times New Roman" w:hAnsi="Times New Roman" w:eastAsia="宋体" w:cs="Times New Roman"/>
          <w:color w:val="auto"/>
          <w:sz w:val="24"/>
          <w:highlight w:val="none"/>
        </w:rPr>
        <w:t>采购人根据本项目的特殊要求规定供应商应具备的特定条件：详见第一章磋商公告。</w:t>
      </w:r>
    </w:p>
    <w:p>
      <w:pPr>
        <w:spacing w:line="360" w:lineRule="auto"/>
        <w:ind w:firstLine="720" w:firstLineChars="3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（3）</w:t>
      </w:r>
      <w:r>
        <w:rPr>
          <w:rFonts w:ascii="Times New Roman" w:hAnsi="Times New Roman" w:eastAsia="宋体" w:cs="Times New Roman"/>
          <w:color w:val="auto"/>
          <w:sz w:val="24"/>
          <w:highlight w:val="none"/>
        </w:rPr>
        <w:t>本次磋商不接受联合体。</w:t>
      </w:r>
    </w:p>
    <w:p>
      <w:pPr>
        <w:spacing w:line="360" w:lineRule="auto"/>
        <w:ind w:firstLine="720" w:firstLineChars="3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（4）</w:t>
      </w:r>
      <w:r>
        <w:rPr>
          <w:rFonts w:ascii="Times New Roman" w:hAnsi="Times New Roman" w:eastAsia="宋体" w:cs="Times New Roman"/>
          <w:color w:val="auto"/>
          <w:sz w:val="24"/>
          <w:highlight w:val="none"/>
        </w:rPr>
        <w:t>符合上述条件的供应商应承担磋商及履约中应承担的全部责任与义务且提供的所有资料真实有效，负责产生的一切后果均</w:t>
      </w:r>
      <w:r>
        <w:rPr>
          <w:rFonts w:hint="eastAsia" w:ascii="Times New Roman" w:hAnsi="Times New Roman" w:eastAsia="宋体" w:cs="Times New Roman"/>
          <w:color w:val="auto"/>
          <w:sz w:val="24"/>
          <w:highlight w:val="none"/>
        </w:rPr>
        <w:t>由</w:t>
      </w:r>
      <w:r>
        <w:rPr>
          <w:rFonts w:ascii="Times New Roman" w:hAnsi="Times New Roman" w:eastAsia="宋体" w:cs="Times New Roman"/>
          <w:color w:val="auto"/>
          <w:sz w:val="24"/>
          <w:highlight w:val="none"/>
        </w:rPr>
        <w:t>供应商承担。</w:t>
      </w:r>
    </w:p>
    <w:p>
      <w:pPr>
        <w:spacing w:line="360" w:lineRule="auto"/>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4</w:t>
      </w:r>
      <w:r>
        <w:rPr>
          <w:rFonts w:ascii="Times New Roman" w:hAnsi="Times New Roman" w:eastAsia="宋体" w:cs="Times New Roman"/>
          <w:color w:val="auto"/>
          <w:sz w:val="24"/>
          <w:highlight w:val="none"/>
        </w:rPr>
        <w:t>、</w:t>
      </w:r>
      <w:r>
        <w:rPr>
          <w:rFonts w:hint="eastAsia" w:ascii="Times New Roman" w:hAnsi="Times New Roman" w:eastAsia="宋体" w:cs="Times New Roman"/>
          <w:color w:val="auto"/>
          <w:sz w:val="24"/>
          <w:highlight w:val="none"/>
        </w:rPr>
        <w:t>磋商</w:t>
      </w:r>
      <w:r>
        <w:rPr>
          <w:rFonts w:ascii="Times New Roman" w:hAnsi="Times New Roman" w:eastAsia="宋体" w:cs="Times New Roman"/>
          <w:color w:val="auto"/>
          <w:sz w:val="24"/>
          <w:highlight w:val="none"/>
        </w:rPr>
        <w:t>费用</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无论是否成交，供应商自行承担所有与参加磋商有关的全部费用。</w:t>
      </w:r>
    </w:p>
    <w:p>
      <w:pPr>
        <w:spacing w:line="360" w:lineRule="auto"/>
        <w:ind w:firstLine="480" w:firstLineChars="200"/>
        <w:rPr>
          <w:rFonts w:ascii="Times New Roman" w:hAnsi="Times New Roman" w:eastAsia="宋体" w:cs="Times New Roman"/>
          <w:color w:val="auto"/>
          <w:sz w:val="24"/>
          <w:highlight w:val="none"/>
        </w:rPr>
      </w:pPr>
      <w:bookmarkStart w:id="65" w:name="_Toc20858"/>
      <w:r>
        <w:rPr>
          <w:rFonts w:hint="eastAsia" w:ascii="Times New Roman" w:hAnsi="Times New Roman" w:eastAsia="宋体" w:cs="Times New Roman"/>
          <w:color w:val="auto"/>
          <w:sz w:val="24"/>
          <w:highlight w:val="none"/>
        </w:rPr>
        <w:t>5</w:t>
      </w:r>
      <w:r>
        <w:rPr>
          <w:rFonts w:ascii="Times New Roman" w:hAnsi="Times New Roman" w:eastAsia="宋体" w:cs="Times New Roman"/>
          <w:color w:val="auto"/>
          <w:sz w:val="24"/>
          <w:highlight w:val="none"/>
        </w:rPr>
        <w:t>、质疑</w:t>
      </w:r>
      <w:bookmarkEnd w:id="65"/>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供应商认为磋商文件、采购过程和成交结果使自己的合法权益受到损害的，可以在知道或者应知其权益受到损害之日起七个工作日内，以书面形式（纸质原件）向下列部门或采购人提出质疑。提出质疑的供应商应当是参与所质疑项目采购活动的供应商，供应商针对同一采购程序环节的质疑应当在法定质疑期内一次性提出，提出质疑时应当有明确的请求和必要的证明材料。</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受理质疑部门：楚雄医药高等专科学校</w:t>
      </w:r>
      <w:r>
        <w:rPr>
          <w:rFonts w:hint="eastAsia" w:ascii="Times New Roman" w:hAnsi="Times New Roman" w:eastAsia="宋体" w:cs="Times New Roman"/>
          <w:color w:val="auto"/>
          <w:sz w:val="24"/>
          <w:highlight w:val="none"/>
          <w:lang w:val="en-US" w:eastAsia="zh-CN"/>
        </w:rPr>
        <w:t>保卫处</w:t>
      </w:r>
      <w:r>
        <w:rPr>
          <w:rFonts w:hint="eastAsia" w:ascii="Times New Roman" w:hAnsi="Times New Roman" w:eastAsia="宋体" w:cs="Times New Roman"/>
          <w:color w:val="auto"/>
          <w:sz w:val="24"/>
          <w:highlight w:val="none"/>
        </w:rPr>
        <w:t>，</w:t>
      </w:r>
      <w:r>
        <w:rPr>
          <w:rFonts w:ascii="Times New Roman" w:hAnsi="Times New Roman" w:eastAsia="宋体" w:cs="Times New Roman"/>
          <w:color w:val="auto"/>
          <w:sz w:val="24"/>
          <w:highlight w:val="none"/>
        </w:rPr>
        <w:t>联系方式：0878-3875679</w:t>
      </w:r>
      <w:r>
        <w:rPr>
          <w:rFonts w:hint="eastAsia" w:ascii="Times New Roman" w:hAnsi="Times New Roman" w:eastAsia="宋体" w:cs="Times New Roman"/>
          <w:color w:val="auto"/>
          <w:sz w:val="24"/>
          <w:highlight w:val="none"/>
        </w:rPr>
        <w:t>。</w:t>
      </w:r>
    </w:p>
    <w:p>
      <w:pPr>
        <w:spacing w:line="360" w:lineRule="auto"/>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（2）</w:t>
      </w:r>
      <w:r>
        <w:rPr>
          <w:rFonts w:ascii="Times New Roman" w:hAnsi="Times New Roman" w:eastAsia="宋体" w:cs="Times New Roman"/>
          <w:color w:val="auto"/>
          <w:sz w:val="24"/>
          <w:highlight w:val="none"/>
        </w:rPr>
        <w:t>供应商可以委托代理人进行质疑。其授权委托书应当载明代理人的姓名或者名称、代理事项、具体权限、期限和相关事项。供应商为自然人的，应当由本人签字；供应商为法人或者其他组织的，应当由法定代表人、主要负责人签字或者盖章，并加盖公章。代理人提出质疑，应当提交供应商签署的授权委托书。</w:t>
      </w:r>
    </w:p>
    <w:p>
      <w:pPr>
        <w:spacing w:line="360" w:lineRule="auto"/>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（3）</w:t>
      </w:r>
      <w:r>
        <w:rPr>
          <w:rFonts w:ascii="Times New Roman" w:hAnsi="Times New Roman" w:eastAsia="宋体" w:cs="Times New Roman"/>
          <w:color w:val="auto"/>
          <w:sz w:val="24"/>
          <w:highlight w:val="none"/>
        </w:rPr>
        <w:t>供应商提出质疑应当提交质疑函和必要的证明材料（如材料中有外文资料应同时附上中文译本）。质疑函应当包括下列内容：</w:t>
      </w:r>
    </w:p>
    <w:p>
      <w:pPr>
        <w:spacing w:line="360" w:lineRule="auto"/>
        <w:ind w:firstLine="720" w:firstLineChars="3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1）供应商的姓名或者名称、地址、邮编、联系人及联系电话；</w:t>
      </w:r>
    </w:p>
    <w:p>
      <w:pPr>
        <w:spacing w:line="360" w:lineRule="auto"/>
        <w:ind w:firstLine="720" w:firstLineChars="3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2）质疑项目的名称、编号；</w:t>
      </w:r>
    </w:p>
    <w:p>
      <w:pPr>
        <w:spacing w:line="360" w:lineRule="auto"/>
        <w:ind w:firstLine="720" w:firstLineChars="3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3）具体、明确的质疑事项和与质疑事项相关的请求；</w:t>
      </w:r>
    </w:p>
    <w:p>
      <w:pPr>
        <w:spacing w:line="360" w:lineRule="auto"/>
        <w:ind w:firstLine="720" w:firstLineChars="3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4）事实依据；</w:t>
      </w:r>
    </w:p>
    <w:p>
      <w:pPr>
        <w:spacing w:line="360" w:lineRule="auto"/>
        <w:ind w:firstLine="720" w:firstLineChars="3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5）必要的法律依据；</w:t>
      </w:r>
    </w:p>
    <w:p>
      <w:pPr>
        <w:spacing w:line="360" w:lineRule="auto"/>
        <w:ind w:firstLine="720" w:firstLineChars="3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6）提出质疑的日期。</w:t>
      </w:r>
    </w:p>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供应商为自然人的，应当由本人签字；供应商为法人或者其他组织的，应当由法定代表人、主要负责人，或者其授权代表签字或者盖章，并加盖公章。</w:t>
      </w:r>
    </w:p>
    <w:p>
      <w:pPr>
        <w:spacing w:line="360" w:lineRule="auto"/>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（4）</w:t>
      </w:r>
      <w:r>
        <w:rPr>
          <w:rFonts w:ascii="Times New Roman" w:hAnsi="Times New Roman" w:eastAsia="宋体" w:cs="Times New Roman"/>
          <w:color w:val="auto"/>
          <w:sz w:val="24"/>
          <w:highlight w:val="none"/>
        </w:rPr>
        <w:t>采购人</w:t>
      </w:r>
      <w:r>
        <w:rPr>
          <w:rFonts w:hint="eastAsia" w:ascii="Times New Roman" w:hAnsi="Times New Roman" w:eastAsia="宋体" w:cs="Times New Roman"/>
          <w:color w:val="auto"/>
          <w:sz w:val="24"/>
          <w:highlight w:val="none"/>
          <w:lang w:val="en-US" w:eastAsia="zh-CN"/>
        </w:rPr>
        <w:t>或采购代理部门</w:t>
      </w:r>
      <w:r>
        <w:rPr>
          <w:rFonts w:ascii="Times New Roman" w:hAnsi="Times New Roman" w:eastAsia="宋体" w:cs="Times New Roman"/>
          <w:color w:val="auto"/>
          <w:sz w:val="24"/>
          <w:highlight w:val="none"/>
        </w:rPr>
        <w:t>将在收到供应商的书面质疑后七个工作日内做出答复，并以书面形式通知质疑供应商和其他有关供应商，但答复的内容不涉及商业秘密。</w:t>
      </w:r>
    </w:p>
    <w:p>
      <w:pPr>
        <w:spacing w:line="360" w:lineRule="auto"/>
        <w:ind w:firstLine="480" w:firstLineChars="200"/>
        <w:rPr>
          <w:rFonts w:ascii="Times New Roman" w:hAnsi="Times New Roman" w:eastAsia="宋体" w:cs="Times New Roman"/>
          <w:color w:val="auto"/>
          <w:sz w:val="24"/>
          <w:highlight w:val="none"/>
        </w:rPr>
      </w:pPr>
      <w:bookmarkStart w:id="66" w:name="_Toc18210"/>
      <w:r>
        <w:rPr>
          <w:rFonts w:hint="eastAsia" w:ascii="Times New Roman" w:hAnsi="Times New Roman" w:eastAsia="宋体" w:cs="Times New Roman"/>
          <w:color w:val="auto"/>
          <w:sz w:val="24"/>
          <w:highlight w:val="none"/>
        </w:rPr>
        <w:t>6</w:t>
      </w:r>
      <w:r>
        <w:rPr>
          <w:rFonts w:ascii="Times New Roman" w:hAnsi="Times New Roman" w:eastAsia="宋体" w:cs="Times New Roman"/>
          <w:color w:val="auto"/>
          <w:sz w:val="24"/>
          <w:highlight w:val="none"/>
        </w:rPr>
        <w:t>、投诉</w:t>
      </w:r>
      <w:bookmarkEnd w:id="66"/>
    </w:p>
    <w:p>
      <w:pPr>
        <w:spacing w:line="360" w:lineRule="auto"/>
        <w:ind w:firstLine="480" w:firstLineChars="200"/>
        <w:rPr>
          <w:rFonts w:ascii="Times New Roman" w:hAnsi="Times New Roman" w:eastAsia="宋体" w:cs="Times New Roman"/>
          <w:color w:val="auto"/>
          <w:sz w:val="24"/>
          <w:highlight w:val="none"/>
        </w:rPr>
      </w:pPr>
      <w:bookmarkStart w:id="67" w:name="_Toc416715974"/>
      <w:r>
        <w:rPr>
          <w:rFonts w:ascii="Times New Roman" w:hAnsi="Times New Roman" w:eastAsia="宋体" w:cs="Times New Roman"/>
          <w:color w:val="auto"/>
          <w:sz w:val="24"/>
          <w:highlight w:val="none"/>
        </w:rPr>
        <w:t>当事人提出的投诉事项必须首先经过质疑程序。质疑人对</w:t>
      </w:r>
      <w:r>
        <w:rPr>
          <w:rFonts w:ascii="Times New Roman" w:hAnsi="Times New Roman" w:eastAsia="宋体" w:cs="Times New Roman"/>
          <w:color w:val="auto"/>
          <w:sz w:val="24"/>
          <w:highlight w:val="none"/>
        </w:rPr>
        <w:t>采购人</w:t>
      </w:r>
      <w:r>
        <w:rPr>
          <w:rFonts w:hint="eastAsia" w:ascii="Times New Roman" w:hAnsi="Times New Roman" w:eastAsia="宋体" w:cs="Times New Roman"/>
          <w:color w:val="auto"/>
          <w:sz w:val="24"/>
          <w:highlight w:val="none"/>
          <w:lang w:val="en-US" w:eastAsia="zh-CN"/>
        </w:rPr>
        <w:t>或采购代理部门</w:t>
      </w:r>
      <w:r>
        <w:rPr>
          <w:rFonts w:ascii="Times New Roman" w:hAnsi="Times New Roman" w:eastAsia="宋体" w:cs="Times New Roman"/>
          <w:color w:val="auto"/>
          <w:sz w:val="24"/>
          <w:highlight w:val="none"/>
        </w:rPr>
        <w:t>的答复不满意，或者</w:t>
      </w:r>
      <w:r>
        <w:rPr>
          <w:rFonts w:ascii="Times New Roman" w:hAnsi="Times New Roman" w:eastAsia="宋体" w:cs="Times New Roman"/>
          <w:color w:val="auto"/>
          <w:sz w:val="24"/>
          <w:highlight w:val="none"/>
        </w:rPr>
        <w:t>采购人</w:t>
      </w:r>
      <w:r>
        <w:rPr>
          <w:rFonts w:hint="eastAsia" w:ascii="Times New Roman" w:hAnsi="Times New Roman" w:eastAsia="宋体" w:cs="Times New Roman"/>
          <w:color w:val="auto"/>
          <w:sz w:val="24"/>
          <w:highlight w:val="none"/>
          <w:lang w:val="en-US" w:eastAsia="zh-CN"/>
        </w:rPr>
        <w:t>或采购代理部门</w:t>
      </w:r>
      <w:r>
        <w:rPr>
          <w:rFonts w:ascii="Times New Roman" w:hAnsi="Times New Roman" w:eastAsia="宋体" w:cs="Times New Roman"/>
          <w:color w:val="auto"/>
          <w:sz w:val="24"/>
          <w:highlight w:val="none"/>
        </w:rPr>
        <w:t>未在规定的时间内做出答复的，可以在答复期满后十五个工作日内书面向同级财政部门提出投诉。</w:t>
      </w:r>
    </w:p>
    <w:p>
      <w:pPr>
        <w:spacing w:line="360" w:lineRule="auto"/>
        <w:ind w:firstLine="480" w:firstLineChars="200"/>
        <w:rPr>
          <w:rFonts w:ascii="宋体" w:hAnsi="宋体" w:eastAsia="宋体" w:cs="宋体"/>
          <w:color w:val="auto"/>
          <w:sz w:val="24"/>
          <w:highlight w:val="none"/>
        </w:rPr>
      </w:pPr>
      <w:r>
        <w:rPr>
          <w:rFonts w:ascii="Times New Roman" w:hAnsi="Times New Roman" w:eastAsia="宋体" w:cs="Times New Roman"/>
          <w:color w:val="auto"/>
          <w:sz w:val="24"/>
          <w:highlight w:val="none"/>
        </w:rPr>
        <w:t>供应商对</w:t>
      </w:r>
      <w:r>
        <w:rPr>
          <w:rFonts w:ascii="Times New Roman" w:hAnsi="Times New Roman" w:eastAsia="宋体" w:cs="Times New Roman"/>
          <w:color w:val="auto"/>
          <w:sz w:val="24"/>
          <w:highlight w:val="none"/>
        </w:rPr>
        <w:t>采购人</w:t>
      </w:r>
      <w:r>
        <w:rPr>
          <w:rFonts w:hint="eastAsia" w:ascii="Times New Roman" w:hAnsi="Times New Roman" w:eastAsia="宋体" w:cs="Times New Roman"/>
          <w:color w:val="auto"/>
          <w:sz w:val="24"/>
          <w:highlight w:val="none"/>
          <w:lang w:val="en-US" w:eastAsia="zh-CN"/>
        </w:rPr>
        <w:t>或采购代理部门</w:t>
      </w:r>
      <w:r>
        <w:rPr>
          <w:rFonts w:ascii="Times New Roman" w:hAnsi="Times New Roman" w:eastAsia="宋体" w:cs="Times New Roman"/>
          <w:color w:val="auto"/>
          <w:sz w:val="24"/>
          <w:highlight w:val="none"/>
        </w:rPr>
        <w:t>的答复不满意或者</w:t>
      </w:r>
      <w:r>
        <w:rPr>
          <w:rFonts w:ascii="Times New Roman" w:hAnsi="Times New Roman" w:eastAsia="宋体" w:cs="Times New Roman"/>
          <w:color w:val="auto"/>
          <w:sz w:val="24"/>
          <w:highlight w:val="none"/>
        </w:rPr>
        <w:t>采购人</w:t>
      </w:r>
      <w:r>
        <w:rPr>
          <w:rFonts w:hint="eastAsia" w:ascii="Times New Roman" w:hAnsi="Times New Roman" w:eastAsia="宋体" w:cs="Times New Roman"/>
          <w:color w:val="auto"/>
          <w:sz w:val="24"/>
          <w:highlight w:val="none"/>
          <w:lang w:val="en-US" w:eastAsia="zh-CN"/>
        </w:rPr>
        <w:t>或采购代理部门</w:t>
      </w:r>
      <w:r>
        <w:rPr>
          <w:rFonts w:ascii="Times New Roman" w:hAnsi="Times New Roman" w:eastAsia="宋体" w:cs="Times New Roman"/>
          <w:color w:val="auto"/>
          <w:sz w:val="24"/>
          <w:highlight w:val="none"/>
        </w:rPr>
        <w:t>未在规定的时间内做出答复的，可以在答复期满后十五个工作日内书面向同级政府采购监督管理部门投诉。</w:t>
      </w:r>
      <w:bookmarkEnd w:id="67"/>
    </w:p>
    <w:p>
      <w:pPr>
        <w:pStyle w:val="4"/>
        <w:rPr>
          <w:rFonts w:ascii="Times New Roman" w:hAnsi="Times New Roman" w:eastAsia="宋体" w:cs="Times New Roman"/>
          <w:color w:val="auto"/>
          <w:highlight w:val="none"/>
        </w:rPr>
      </w:pPr>
      <w:bookmarkStart w:id="68" w:name="_Toc5468"/>
      <w:bookmarkStart w:id="69" w:name="_Toc60996678"/>
      <w:bookmarkStart w:id="70" w:name="_Toc17687_WPSOffice_Level1"/>
      <w:bookmarkStart w:id="71" w:name="_Toc29818_WPSOffice_Level1"/>
      <w:bookmarkStart w:id="72" w:name="_Toc20599_WPSOffice_Level2"/>
      <w:bookmarkStart w:id="73" w:name="_Toc26861"/>
      <w:bookmarkStart w:id="74" w:name="_二、招标文件"/>
      <w:r>
        <w:rPr>
          <w:rFonts w:ascii="Times New Roman" w:hAnsi="Times New Roman" w:eastAsia="宋体" w:cs="Times New Roman"/>
          <w:color w:val="auto"/>
          <w:highlight w:val="none"/>
        </w:rPr>
        <w:t xml:space="preserve">2.2 </w:t>
      </w:r>
      <w:r>
        <w:rPr>
          <w:rFonts w:hint="eastAsia" w:ascii="Times New Roman" w:hAnsi="Times New Roman" w:eastAsia="宋体" w:cs="Times New Roman"/>
          <w:color w:val="auto"/>
          <w:highlight w:val="none"/>
        </w:rPr>
        <w:t>磋商</w:t>
      </w:r>
      <w:r>
        <w:rPr>
          <w:rFonts w:ascii="Times New Roman" w:hAnsi="Times New Roman" w:eastAsia="宋体" w:cs="Times New Roman"/>
          <w:color w:val="auto"/>
          <w:highlight w:val="none"/>
        </w:rPr>
        <w:t>文件</w:t>
      </w:r>
      <w:bookmarkEnd w:id="68"/>
      <w:bookmarkEnd w:id="69"/>
      <w:bookmarkEnd w:id="70"/>
      <w:bookmarkEnd w:id="71"/>
      <w:bookmarkEnd w:id="72"/>
      <w:bookmarkEnd w:id="73"/>
    </w:p>
    <w:bookmarkEnd w:id="74"/>
    <w:p>
      <w:pPr>
        <w:spacing w:line="460" w:lineRule="exact"/>
        <w:ind w:firstLine="480" w:firstLineChars="200"/>
        <w:rPr>
          <w:rFonts w:ascii="Times New Roman" w:hAnsi="Times New Roman" w:eastAsia="宋体" w:cs="Times New Roman"/>
          <w:color w:val="auto"/>
          <w:sz w:val="24"/>
          <w:highlight w:val="none"/>
        </w:rPr>
      </w:pPr>
      <w:bookmarkStart w:id="75" w:name="_Toc19852"/>
      <w:r>
        <w:rPr>
          <w:rFonts w:ascii="Times New Roman" w:hAnsi="Times New Roman" w:eastAsia="宋体" w:cs="Times New Roman"/>
          <w:color w:val="auto"/>
          <w:sz w:val="24"/>
          <w:highlight w:val="none"/>
        </w:rPr>
        <w:t>1、</w:t>
      </w:r>
      <w:r>
        <w:rPr>
          <w:rFonts w:hint="eastAsia" w:ascii="Times New Roman" w:hAnsi="Times New Roman" w:eastAsia="宋体" w:cs="Times New Roman"/>
          <w:color w:val="auto"/>
          <w:sz w:val="24"/>
          <w:highlight w:val="none"/>
        </w:rPr>
        <w:t>磋商</w:t>
      </w:r>
      <w:r>
        <w:rPr>
          <w:rFonts w:ascii="Times New Roman" w:hAnsi="Times New Roman" w:eastAsia="宋体" w:cs="Times New Roman"/>
          <w:color w:val="auto"/>
          <w:sz w:val="24"/>
          <w:highlight w:val="none"/>
        </w:rPr>
        <w:t>文件构成</w:t>
      </w:r>
      <w:bookmarkEnd w:id="75"/>
    </w:p>
    <w:p>
      <w:pPr>
        <w:spacing w:line="460" w:lineRule="exact"/>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要求提供的采购过程及合同条款在磋商文件中均有说明，磋商文件共六章，各章的内容如下：</w:t>
      </w:r>
    </w:p>
    <w:p>
      <w:pPr>
        <w:spacing w:line="460" w:lineRule="exact"/>
        <w:ind w:firstLine="480" w:firstLineChars="200"/>
        <w:rPr>
          <w:rFonts w:ascii="Times New Roman" w:hAnsi="Times New Roman" w:eastAsia="宋体" w:cs="Times New Roman"/>
          <w:color w:val="auto"/>
          <w:sz w:val="24"/>
          <w:highlight w:val="none"/>
        </w:rPr>
      </w:pPr>
      <w:bookmarkStart w:id="76" w:name="_Toc20599_WPSOffice_Level1"/>
      <w:bookmarkStart w:id="77" w:name="_Toc17346_WPSOffice_Level2"/>
      <w:bookmarkStart w:id="78" w:name="_Toc19285_WPSOffice_Level2"/>
      <w:r>
        <w:rPr>
          <w:rFonts w:ascii="Times New Roman" w:hAnsi="Times New Roman" w:eastAsia="宋体" w:cs="Times New Roman"/>
          <w:color w:val="auto"/>
          <w:sz w:val="24"/>
          <w:highlight w:val="none"/>
        </w:rPr>
        <w:t>第一章 竞争性</w:t>
      </w:r>
      <w:r>
        <w:rPr>
          <w:rFonts w:hint="eastAsia" w:ascii="Times New Roman" w:hAnsi="Times New Roman" w:eastAsia="宋体" w:cs="Times New Roman"/>
          <w:color w:val="auto"/>
          <w:sz w:val="24"/>
          <w:highlight w:val="none"/>
        </w:rPr>
        <w:t>磋商</w:t>
      </w:r>
      <w:r>
        <w:rPr>
          <w:rFonts w:ascii="Times New Roman" w:hAnsi="Times New Roman" w:eastAsia="宋体" w:cs="Times New Roman"/>
          <w:color w:val="auto"/>
          <w:sz w:val="24"/>
          <w:highlight w:val="none"/>
        </w:rPr>
        <w:t>公告</w:t>
      </w:r>
      <w:bookmarkEnd w:id="76"/>
      <w:bookmarkEnd w:id="77"/>
      <w:bookmarkEnd w:id="78"/>
    </w:p>
    <w:p>
      <w:pPr>
        <w:spacing w:line="460" w:lineRule="exact"/>
        <w:ind w:firstLine="480" w:firstLineChars="200"/>
        <w:rPr>
          <w:rFonts w:ascii="Times New Roman" w:hAnsi="Times New Roman" w:eastAsia="宋体" w:cs="Times New Roman"/>
          <w:color w:val="auto"/>
          <w:sz w:val="24"/>
          <w:highlight w:val="none"/>
        </w:rPr>
      </w:pPr>
      <w:bookmarkStart w:id="79" w:name="_Toc16744_WPSOffice_Level2"/>
      <w:bookmarkStart w:id="80" w:name="_Toc26127_WPSOffice_Level1"/>
      <w:bookmarkStart w:id="81" w:name="_Toc23365_WPSOffice_Level2"/>
      <w:r>
        <w:rPr>
          <w:rFonts w:ascii="Times New Roman" w:hAnsi="Times New Roman" w:eastAsia="宋体" w:cs="Times New Roman"/>
          <w:color w:val="auto"/>
          <w:sz w:val="24"/>
          <w:highlight w:val="none"/>
        </w:rPr>
        <w:t>第二章 供应商须知</w:t>
      </w:r>
      <w:bookmarkEnd w:id="79"/>
      <w:bookmarkEnd w:id="80"/>
      <w:bookmarkEnd w:id="81"/>
    </w:p>
    <w:p>
      <w:pPr>
        <w:spacing w:line="460" w:lineRule="exact"/>
        <w:ind w:firstLine="480" w:firstLineChars="200"/>
        <w:rPr>
          <w:rFonts w:ascii="Times New Roman" w:hAnsi="Times New Roman" w:eastAsia="宋体" w:cs="Times New Roman"/>
          <w:color w:val="auto"/>
          <w:sz w:val="24"/>
          <w:highlight w:val="none"/>
        </w:rPr>
      </w:pPr>
      <w:bookmarkStart w:id="82" w:name="_Toc12853_WPSOffice_Level2"/>
      <w:bookmarkStart w:id="83" w:name="_Toc25217_WPSOffice_Level1"/>
      <w:bookmarkStart w:id="84" w:name="_Toc27417_WPSOffice_Level2"/>
      <w:r>
        <w:rPr>
          <w:rFonts w:ascii="Times New Roman" w:hAnsi="Times New Roman" w:eastAsia="宋体" w:cs="Times New Roman"/>
          <w:color w:val="auto"/>
          <w:sz w:val="24"/>
          <w:highlight w:val="none"/>
        </w:rPr>
        <w:t xml:space="preserve">第三章 </w:t>
      </w:r>
      <w:bookmarkEnd w:id="82"/>
      <w:bookmarkEnd w:id="83"/>
      <w:bookmarkEnd w:id="84"/>
      <w:r>
        <w:rPr>
          <w:rFonts w:ascii="Times New Roman" w:hAnsi="Times New Roman" w:eastAsia="宋体" w:cs="Times New Roman"/>
          <w:color w:val="auto"/>
          <w:sz w:val="24"/>
          <w:highlight w:val="none"/>
        </w:rPr>
        <w:t>合同书样式及主要条款</w:t>
      </w:r>
    </w:p>
    <w:p>
      <w:pPr>
        <w:spacing w:line="460" w:lineRule="exact"/>
        <w:ind w:firstLine="480" w:firstLineChars="200"/>
        <w:rPr>
          <w:rFonts w:ascii="Times New Roman" w:hAnsi="Times New Roman" w:eastAsia="宋体" w:cs="Times New Roman"/>
          <w:color w:val="auto"/>
          <w:sz w:val="24"/>
          <w:highlight w:val="none"/>
        </w:rPr>
      </w:pPr>
      <w:bookmarkStart w:id="85" w:name="_Toc19055_WPSOffice_Level2"/>
      <w:bookmarkStart w:id="86" w:name="_Toc12208_WPSOffice_Level1"/>
      <w:bookmarkStart w:id="87" w:name="_Toc23738_WPSOffice_Level2"/>
      <w:r>
        <w:rPr>
          <w:rFonts w:ascii="Times New Roman" w:hAnsi="Times New Roman" w:eastAsia="宋体" w:cs="Times New Roman"/>
          <w:color w:val="auto"/>
          <w:sz w:val="24"/>
          <w:highlight w:val="none"/>
        </w:rPr>
        <w:t xml:space="preserve">第四章 </w:t>
      </w:r>
      <w:bookmarkEnd w:id="85"/>
      <w:bookmarkEnd w:id="86"/>
      <w:bookmarkEnd w:id="87"/>
      <w:r>
        <w:rPr>
          <w:rFonts w:ascii="Times New Roman" w:hAnsi="Times New Roman" w:eastAsia="宋体" w:cs="Times New Roman"/>
          <w:color w:val="auto"/>
          <w:sz w:val="24"/>
          <w:highlight w:val="none"/>
        </w:rPr>
        <w:t>磋商响应文件格式</w:t>
      </w:r>
    </w:p>
    <w:p>
      <w:pPr>
        <w:spacing w:line="460" w:lineRule="exact"/>
        <w:ind w:firstLine="480" w:firstLineChars="200"/>
        <w:rPr>
          <w:rFonts w:ascii="Times New Roman" w:hAnsi="Times New Roman" w:eastAsia="宋体" w:cs="Times New Roman"/>
          <w:color w:val="auto"/>
          <w:sz w:val="24"/>
          <w:highlight w:val="none"/>
        </w:rPr>
      </w:pPr>
      <w:bookmarkStart w:id="88" w:name="_Toc30699_WPSOffice_Level2"/>
      <w:bookmarkStart w:id="89" w:name="_Toc20995_WPSOffice_Level1"/>
      <w:bookmarkStart w:id="90" w:name="_Toc22224_WPSOffice_Level2"/>
      <w:r>
        <w:rPr>
          <w:rFonts w:ascii="Times New Roman" w:hAnsi="Times New Roman" w:eastAsia="宋体" w:cs="Times New Roman"/>
          <w:color w:val="auto"/>
          <w:sz w:val="24"/>
          <w:highlight w:val="none"/>
        </w:rPr>
        <w:t xml:space="preserve">第五章 </w:t>
      </w:r>
      <w:bookmarkEnd w:id="88"/>
      <w:bookmarkEnd w:id="89"/>
      <w:bookmarkEnd w:id="90"/>
      <w:r>
        <w:rPr>
          <w:rFonts w:ascii="Times New Roman" w:hAnsi="Times New Roman" w:eastAsia="宋体" w:cs="Times New Roman"/>
          <w:color w:val="auto"/>
          <w:sz w:val="24"/>
          <w:highlight w:val="none"/>
        </w:rPr>
        <w:t>采购需求</w:t>
      </w:r>
    </w:p>
    <w:p>
      <w:pPr>
        <w:spacing w:line="460" w:lineRule="exact"/>
        <w:ind w:firstLine="480" w:firstLineChars="200"/>
        <w:rPr>
          <w:rFonts w:ascii="Times New Roman" w:hAnsi="Times New Roman" w:eastAsia="宋体" w:cs="Times New Roman"/>
          <w:color w:val="auto"/>
          <w:sz w:val="24"/>
          <w:highlight w:val="none"/>
        </w:rPr>
      </w:pPr>
      <w:bookmarkStart w:id="91" w:name="_Toc7113_WPSOffice_Level2"/>
      <w:bookmarkStart w:id="92" w:name="_Toc6428_WPSOffice_Level1"/>
      <w:bookmarkStart w:id="93" w:name="_Toc13234_WPSOffice_Level2"/>
      <w:r>
        <w:rPr>
          <w:rFonts w:ascii="Times New Roman" w:hAnsi="Times New Roman" w:eastAsia="宋体" w:cs="Times New Roman"/>
          <w:color w:val="auto"/>
          <w:sz w:val="24"/>
          <w:highlight w:val="none"/>
        </w:rPr>
        <w:t>第六章</w:t>
      </w:r>
      <w:bookmarkEnd w:id="91"/>
      <w:bookmarkEnd w:id="92"/>
      <w:bookmarkEnd w:id="93"/>
      <w:r>
        <w:rPr>
          <w:rFonts w:ascii="Times New Roman" w:hAnsi="Times New Roman" w:eastAsia="宋体" w:cs="Times New Roman"/>
          <w:color w:val="auto"/>
          <w:sz w:val="24"/>
          <w:highlight w:val="none"/>
        </w:rPr>
        <w:t xml:space="preserve"> 磋商程序及方法</w:t>
      </w:r>
    </w:p>
    <w:p>
      <w:pPr>
        <w:spacing w:line="460" w:lineRule="exact"/>
        <w:ind w:firstLine="480" w:firstLineChars="200"/>
        <w:rPr>
          <w:rFonts w:ascii="Times New Roman" w:hAnsi="Times New Roman" w:eastAsia="宋体" w:cs="Times New Roman"/>
          <w:color w:val="auto"/>
          <w:sz w:val="24"/>
          <w:highlight w:val="none"/>
        </w:rPr>
      </w:pPr>
      <w:bookmarkStart w:id="94" w:name="_Toc27416"/>
      <w:r>
        <w:rPr>
          <w:rFonts w:ascii="Times New Roman" w:hAnsi="Times New Roman" w:eastAsia="宋体" w:cs="Times New Roman"/>
          <w:color w:val="auto"/>
          <w:sz w:val="24"/>
          <w:highlight w:val="none"/>
        </w:rPr>
        <w:t>2、</w:t>
      </w:r>
      <w:bookmarkEnd w:id="94"/>
      <w:r>
        <w:rPr>
          <w:rFonts w:ascii="Times New Roman" w:hAnsi="Times New Roman" w:eastAsia="宋体" w:cs="Times New Roman"/>
          <w:color w:val="auto"/>
          <w:sz w:val="24"/>
          <w:highlight w:val="none"/>
        </w:rPr>
        <w:t>磋商文件的澄清、修改</w:t>
      </w:r>
    </w:p>
    <w:p>
      <w:pPr>
        <w:spacing w:line="460" w:lineRule="exact"/>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w:t>
      </w:r>
      <w:r>
        <w:rPr>
          <w:rFonts w:ascii="Times New Roman" w:hAnsi="Times New Roman" w:eastAsia="宋体" w:cs="Times New Roman"/>
          <w:color w:val="auto"/>
          <w:sz w:val="24"/>
          <w:highlight w:val="none"/>
        </w:rPr>
        <w:t>参加磋商供应商应认真审核磋商文件，如有疑问的，供应商可以在 “供应商须知前附表”规定截止时间前以澄清函形式（加盖单位章）要求</w:t>
      </w:r>
      <w:r>
        <w:rPr>
          <w:rFonts w:ascii="Times New Roman" w:hAnsi="Times New Roman" w:eastAsia="宋体" w:cs="Times New Roman"/>
          <w:color w:val="auto"/>
          <w:sz w:val="24"/>
          <w:highlight w:val="none"/>
        </w:rPr>
        <w:t>采购人</w:t>
      </w:r>
      <w:r>
        <w:rPr>
          <w:rFonts w:hint="eastAsia" w:ascii="Times New Roman" w:hAnsi="Times New Roman" w:eastAsia="宋体" w:cs="Times New Roman"/>
          <w:color w:val="auto"/>
          <w:sz w:val="24"/>
          <w:highlight w:val="none"/>
          <w:lang w:val="en-US" w:eastAsia="zh-CN"/>
        </w:rPr>
        <w:t>或采购代理部门</w:t>
      </w:r>
      <w:r>
        <w:rPr>
          <w:rFonts w:ascii="Times New Roman" w:hAnsi="Times New Roman" w:eastAsia="宋体" w:cs="Times New Roman"/>
          <w:color w:val="auto"/>
          <w:sz w:val="24"/>
          <w:highlight w:val="none"/>
        </w:rPr>
        <w:t>澄清，截止时间后送达的澄清要求概不接受。</w:t>
      </w:r>
    </w:p>
    <w:p>
      <w:pPr>
        <w:spacing w:line="460" w:lineRule="exact"/>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（2）</w:t>
      </w:r>
      <w:r>
        <w:rPr>
          <w:rFonts w:ascii="Times New Roman" w:hAnsi="Times New Roman" w:eastAsia="宋体" w:cs="Times New Roman"/>
          <w:color w:val="auto"/>
          <w:sz w:val="24"/>
          <w:highlight w:val="none"/>
        </w:rPr>
        <w:t>采购人</w:t>
      </w:r>
      <w:r>
        <w:rPr>
          <w:rFonts w:hint="eastAsia" w:ascii="Times New Roman" w:hAnsi="Times New Roman" w:eastAsia="宋体" w:cs="Times New Roman"/>
          <w:color w:val="auto"/>
          <w:sz w:val="24"/>
          <w:highlight w:val="none"/>
          <w:lang w:val="en-US" w:eastAsia="zh-CN"/>
        </w:rPr>
        <w:t>或采购代理部门</w:t>
      </w:r>
      <w:r>
        <w:rPr>
          <w:rFonts w:ascii="Times New Roman" w:hAnsi="Times New Roman" w:eastAsia="宋体" w:cs="Times New Roman"/>
          <w:color w:val="auto"/>
          <w:sz w:val="24"/>
          <w:highlight w:val="none"/>
        </w:rPr>
        <w:t>将以书面形式答复所有</w:t>
      </w:r>
      <w:r>
        <w:rPr>
          <w:rFonts w:hint="eastAsia" w:ascii="Times New Roman" w:hAnsi="Times New Roman" w:eastAsia="宋体" w:cs="Times New Roman"/>
          <w:color w:val="auto"/>
          <w:sz w:val="24"/>
          <w:highlight w:val="none"/>
        </w:rPr>
        <w:t>获取</w:t>
      </w:r>
      <w:r>
        <w:rPr>
          <w:rFonts w:ascii="Times New Roman" w:hAnsi="Times New Roman" w:eastAsia="宋体" w:cs="Times New Roman"/>
          <w:color w:val="auto"/>
          <w:sz w:val="24"/>
          <w:highlight w:val="none"/>
        </w:rPr>
        <w:t>磋商文件的供应商（答复中不包含问题的来源）要求澄清的问题，其他澄清方式无效。</w:t>
      </w:r>
    </w:p>
    <w:p>
      <w:pPr>
        <w:spacing w:line="460" w:lineRule="exact"/>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（3）</w:t>
      </w:r>
      <w:r>
        <w:rPr>
          <w:rFonts w:ascii="Times New Roman" w:hAnsi="Times New Roman" w:eastAsia="宋体" w:cs="Times New Roman"/>
          <w:color w:val="auto"/>
          <w:sz w:val="24"/>
          <w:highlight w:val="none"/>
        </w:rPr>
        <w:t>采购人</w:t>
      </w:r>
      <w:r>
        <w:rPr>
          <w:rFonts w:hint="eastAsia" w:ascii="Times New Roman" w:hAnsi="Times New Roman" w:eastAsia="宋体" w:cs="Times New Roman"/>
          <w:color w:val="auto"/>
          <w:sz w:val="24"/>
          <w:highlight w:val="none"/>
          <w:lang w:val="en-US" w:eastAsia="zh-CN"/>
        </w:rPr>
        <w:t>或采购代理部门</w:t>
      </w:r>
      <w:r>
        <w:rPr>
          <w:rFonts w:ascii="Times New Roman" w:hAnsi="Times New Roman" w:eastAsia="宋体" w:cs="Times New Roman"/>
          <w:color w:val="auto"/>
          <w:sz w:val="24"/>
          <w:highlight w:val="none"/>
        </w:rPr>
        <w:t>对已发出的磋商文件进行必要澄清或者修改的，将以书面形式通知所有</w:t>
      </w:r>
      <w:r>
        <w:rPr>
          <w:rFonts w:hint="eastAsia" w:ascii="Times New Roman" w:hAnsi="Times New Roman" w:eastAsia="宋体" w:cs="Times New Roman"/>
          <w:color w:val="auto"/>
          <w:sz w:val="24"/>
          <w:highlight w:val="none"/>
        </w:rPr>
        <w:t>获取</w:t>
      </w:r>
      <w:r>
        <w:rPr>
          <w:rFonts w:ascii="Times New Roman" w:hAnsi="Times New Roman" w:eastAsia="宋体" w:cs="Times New Roman"/>
          <w:color w:val="auto"/>
          <w:sz w:val="24"/>
          <w:highlight w:val="none"/>
        </w:rPr>
        <w:t>磋商文件的供应商，该澄清或者修改的内容为磋商文件的组成部分，对采购</w:t>
      </w:r>
      <w:r>
        <w:rPr>
          <w:rFonts w:hint="eastAsia" w:ascii="Times New Roman" w:hAnsi="Times New Roman" w:eastAsia="宋体" w:cs="Times New Roman"/>
          <w:color w:val="auto"/>
          <w:sz w:val="24"/>
          <w:highlight w:val="none"/>
        </w:rPr>
        <w:t>人</w:t>
      </w:r>
      <w:r>
        <w:rPr>
          <w:rFonts w:ascii="Times New Roman" w:hAnsi="Times New Roman" w:eastAsia="宋体" w:cs="Times New Roman"/>
          <w:color w:val="auto"/>
          <w:sz w:val="24"/>
          <w:highlight w:val="none"/>
        </w:rPr>
        <w:t>和磋商供应商都有同等的约束力。</w:t>
      </w:r>
    </w:p>
    <w:p>
      <w:pPr>
        <w:spacing w:line="460" w:lineRule="exact"/>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（4）</w:t>
      </w:r>
      <w:r>
        <w:rPr>
          <w:rFonts w:ascii="Times New Roman" w:hAnsi="Times New Roman" w:eastAsia="宋体" w:cs="Times New Roman"/>
          <w:color w:val="auto"/>
          <w:sz w:val="24"/>
          <w:highlight w:val="none"/>
        </w:rPr>
        <w:t>采购人</w:t>
      </w:r>
      <w:r>
        <w:rPr>
          <w:rFonts w:hint="eastAsia" w:ascii="Times New Roman" w:hAnsi="Times New Roman" w:eastAsia="宋体" w:cs="Times New Roman"/>
          <w:color w:val="auto"/>
          <w:sz w:val="24"/>
          <w:highlight w:val="none"/>
          <w:lang w:val="en-US" w:eastAsia="zh-CN"/>
        </w:rPr>
        <w:t>或采购代理部门</w:t>
      </w:r>
      <w:r>
        <w:rPr>
          <w:rFonts w:ascii="Times New Roman" w:hAnsi="Times New Roman" w:eastAsia="宋体" w:cs="Times New Roman"/>
          <w:color w:val="auto"/>
          <w:sz w:val="24"/>
          <w:highlight w:val="none"/>
        </w:rPr>
        <w:t>可以视采购具体情况，推迟递交磋商响应文件截止时间，并将变更时间书面通知所有</w:t>
      </w:r>
      <w:r>
        <w:rPr>
          <w:rFonts w:hint="eastAsia" w:ascii="Times New Roman" w:hAnsi="Times New Roman" w:eastAsia="宋体" w:cs="Times New Roman"/>
          <w:color w:val="auto"/>
          <w:sz w:val="24"/>
          <w:highlight w:val="none"/>
        </w:rPr>
        <w:t>获取</w:t>
      </w:r>
      <w:r>
        <w:rPr>
          <w:rFonts w:ascii="Times New Roman" w:hAnsi="Times New Roman" w:eastAsia="宋体" w:cs="Times New Roman"/>
          <w:color w:val="auto"/>
          <w:sz w:val="24"/>
          <w:highlight w:val="none"/>
        </w:rPr>
        <w:t>磋商文件的供应商。</w:t>
      </w:r>
    </w:p>
    <w:p>
      <w:pPr>
        <w:tabs>
          <w:tab w:val="center" w:pos="4422"/>
        </w:tabs>
        <w:adjustRightInd w:val="0"/>
        <w:snapToGrid w:val="0"/>
        <w:spacing w:beforeLines="50" w:line="360" w:lineRule="auto"/>
        <w:ind w:firstLine="352" w:firstLineChars="147"/>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3</w:t>
      </w:r>
      <w:r>
        <w:rPr>
          <w:rFonts w:ascii="Times New Roman" w:hAnsi="Times New Roman" w:eastAsia="宋体" w:cs="Times New Roman"/>
          <w:color w:val="auto"/>
          <w:sz w:val="24"/>
          <w:highlight w:val="none"/>
        </w:rPr>
        <w:t>、磋商响应文件</w:t>
      </w:r>
    </w:p>
    <w:p>
      <w:pPr>
        <w:tabs>
          <w:tab w:val="left" w:pos="0"/>
        </w:tabs>
        <w:adjustRightInd w:val="0"/>
        <w:snapToGrid w:val="0"/>
        <w:spacing w:beforeLines="50" w:line="360" w:lineRule="auto"/>
        <w:ind w:firstLine="480" w:firstLineChars="200"/>
        <w:rPr>
          <w:rFonts w:ascii="Times New Roman" w:hAnsi="Times New Roman" w:eastAsia="宋体" w:cs="Times New Roman"/>
          <w:color w:val="auto"/>
          <w:sz w:val="24"/>
          <w:highlight w:val="none"/>
        </w:rPr>
      </w:pPr>
      <w:bookmarkStart w:id="95" w:name="_Toc348011933"/>
      <w:bookmarkStart w:id="96" w:name="_Toc329810195"/>
      <w:bookmarkStart w:id="97" w:name="_Toc86124052"/>
      <w:r>
        <w:rPr>
          <w:rFonts w:hint="eastAsia" w:ascii="Times New Roman" w:hAnsi="Times New Roman" w:eastAsia="宋体" w:cs="Times New Roman"/>
          <w:color w:val="auto"/>
          <w:sz w:val="24"/>
          <w:highlight w:val="none"/>
        </w:rPr>
        <w:t>（1）</w:t>
      </w:r>
      <w:r>
        <w:rPr>
          <w:rFonts w:ascii="Times New Roman" w:hAnsi="Times New Roman" w:eastAsia="宋体" w:cs="Times New Roman"/>
          <w:color w:val="auto"/>
          <w:sz w:val="24"/>
          <w:highlight w:val="none"/>
        </w:rPr>
        <w:t>磋商响应文件编写注意事项</w:t>
      </w:r>
      <w:bookmarkEnd w:id="95"/>
      <w:bookmarkEnd w:id="96"/>
      <w:bookmarkEnd w:id="97"/>
    </w:p>
    <w:p>
      <w:pPr>
        <w:tabs>
          <w:tab w:val="left" w:pos="0"/>
        </w:tabs>
        <w:adjustRightInd w:val="0"/>
        <w:snapToGrid w:val="0"/>
        <w:spacing w:beforeLines="50" w:line="360" w:lineRule="auto"/>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w:t>
      </w:r>
      <w:r>
        <w:rPr>
          <w:rFonts w:ascii="Times New Roman" w:hAnsi="Times New Roman" w:eastAsia="宋体" w:cs="Times New Roman"/>
          <w:color w:val="auto"/>
          <w:sz w:val="24"/>
          <w:highlight w:val="none"/>
        </w:rPr>
        <w:t>供应商应仔细阅读磋商文件，在完全了解采购的内容、技术要求（见第五章“采购需求”）后，编写磋商响应文件。如果没有按照磋商文件要求提交全部响应文件或者资料，没有对磋商文件的实质性要求和条件作出响应是</w:t>
      </w:r>
      <w:r>
        <w:rPr>
          <w:rFonts w:hint="eastAsia" w:ascii="Times New Roman" w:hAnsi="Times New Roman" w:eastAsia="宋体" w:cs="Times New Roman"/>
          <w:color w:val="auto"/>
          <w:sz w:val="24"/>
          <w:highlight w:val="none"/>
        </w:rPr>
        <w:t>供应商</w:t>
      </w:r>
      <w:r>
        <w:rPr>
          <w:rFonts w:ascii="Times New Roman" w:hAnsi="Times New Roman" w:eastAsia="宋体" w:cs="Times New Roman"/>
          <w:color w:val="auto"/>
          <w:sz w:val="24"/>
          <w:highlight w:val="none"/>
        </w:rPr>
        <w:t>的风险，并可能导致该响应文件被拒绝。</w:t>
      </w:r>
    </w:p>
    <w:p>
      <w:pPr>
        <w:tabs>
          <w:tab w:val="left" w:pos="0"/>
        </w:tabs>
        <w:adjustRightInd w:val="0"/>
        <w:snapToGrid w:val="0"/>
        <w:spacing w:beforeLines="50" w:line="360" w:lineRule="auto"/>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2）</w:t>
      </w:r>
      <w:r>
        <w:rPr>
          <w:rFonts w:ascii="Times New Roman" w:hAnsi="Times New Roman" w:eastAsia="宋体" w:cs="Times New Roman"/>
          <w:color w:val="auto"/>
          <w:sz w:val="24"/>
          <w:highlight w:val="none"/>
        </w:rPr>
        <w:t>对磋商文件提出的实质性要求和条件作出响应是指供应商必须对磋商文件中规定的成交实质性要求和条件作出满足或者优于原要求和条件的承诺，并提供相应的证明材料。</w:t>
      </w:r>
    </w:p>
    <w:p>
      <w:pPr>
        <w:pStyle w:val="6"/>
        <w:ind w:firstLine="48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3）</w:t>
      </w:r>
      <w:r>
        <w:rPr>
          <w:rFonts w:ascii="Times New Roman" w:hAnsi="Times New Roman" w:eastAsia="宋体" w:cs="Times New Roman"/>
          <w:color w:val="auto"/>
          <w:sz w:val="24"/>
          <w:highlight w:val="none"/>
        </w:rPr>
        <w:t>磋商文件中的实质性要求和条件详见“</w:t>
      </w:r>
      <w:r>
        <w:rPr>
          <w:rFonts w:hint="eastAsia" w:ascii="Times New Roman" w:hAnsi="Times New Roman" w:eastAsia="宋体" w:cs="Times New Roman"/>
          <w:color w:val="auto"/>
          <w:sz w:val="24"/>
          <w:highlight w:val="none"/>
        </w:rPr>
        <w:t>供应商</w:t>
      </w:r>
      <w:r>
        <w:rPr>
          <w:rFonts w:ascii="Times New Roman" w:hAnsi="Times New Roman" w:eastAsia="宋体" w:cs="Times New Roman"/>
          <w:color w:val="auto"/>
          <w:sz w:val="24"/>
          <w:highlight w:val="none"/>
        </w:rPr>
        <w:t>须知前附表”。</w:t>
      </w:r>
    </w:p>
    <w:p>
      <w:pPr>
        <w:tabs>
          <w:tab w:val="left" w:pos="0"/>
        </w:tabs>
        <w:adjustRightInd w:val="0"/>
        <w:snapToGrid w:val="0"/>
        <w:spacing w:beforeLines="50" w:line="360" w:lineRule="auto"/>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（2）响应文件语言及计量单位</w:t>
      </w:r>
    </w:p>
    <w:p>
      <w:pPr>
        <w:tabs>
          <w:tab w:val="left" w:pos="0"/>
        </w:tabs>
        <w:adjustRightInd w:val="0"/>
        <w:snapToGrid w:val="0"/>
        <w:spacing w:beforeLines="50" w:line="360" w:lineRule="auto"/>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 供应商的响应文件以及供应商与采购代理机构就有关磋商活动的所有来往函电统一使用中文（特别规定除外）。</w:t>
      </w:r>
    </w:p>
    <w:p>
      <w:pPr>
        <w:tabs>
          <w:tab w:val="left" w:pos="0"/>
        </w:tabs>
        <w:adjustRightInd w:val="0"/>
        <w:snapToGrid w:val="0"/>
        <w:spacing w:beforeLines="50" w:line="360" w:lineRule="auto"/>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2） 响应文件中使用的计量单位除采购文件中有特殊规定外，一律使用中国法定计量单位。</w:t>
      </w:r>
    </w:p>
    <w:p>
      <w:pPr>
        <w:tabs>
          <w:tab w:val="left" w:pos="0"/>
        </w:tabs>
        <w:adjustRightInd w:val="0"/>
        <w:snapToGrid w:val="0"/>
        <w:spacing w:beforeLines="50" w:line="360" w:lineRule="auto"/>
        <w:ind w:firstLine="480" w:firstLineChars="200"/>
        <w:rPr>
          <w:rFonts w:ascii="Times New Roman" w:hAnsi="Times New Roman" w:eastAsia="宋体" w:cs="Times New Roman"/>
          <w:color w:val="auto"/>
          <w:sz w:val="24"/>
          <w:highlight w:val="none"/>
        </w:rPr>
      </w:pPr>
      <w:bookmarkStart w:id="98" w:name="_Toc329810196"/>
      <w:bookmarkStart w:id="99" w:name="_Toc348011934"/>
      <w:bookmarkStart w:id="100" w:name="_Toc86124054"/>
      <w:r>
        <w:rPr>
          <w:rFonts w:hint="eastAsia" w:ascii="Times New Roman" w:hAnsi="Times New Roman" w:eastAsia="宋体" w:cs="Times New Roman"/>
          <w:color w:val="auto"/>
          <w:sz w:val="24"/>
          <w:highlight w:val="none"/>
        </w:rPr>
        <w:t>（3）</w:t>
      </w:r>
      <w:r>
        <w:rPr>
          <w:rFonts w:ascii="Times New Roman" w:hAnsi="Times New Roman" w:eastAsia="宋体" w:cs="Times New Roman"/>
          <w:color w:val="auto"/>
          <w:sz w:val="24"/>
          <w:highlight w:val="none"/>
        </w:rPr>
        <w:t>磋商响应文件构成</w:t>
      </w:r>
      <w:bookmarkEnd w:id="98"/>
      <w:bookmarkEnd w:id="99"/>
      <w:bookmarkEnd w:id="100"/>
    </w:p>
    <w:p>
      <w:pPr>
        <w:tabs>
          <w:tab w:val="left" w:pos="0"/>
        </w:tabs>
        <w:adjustRightInd w:val="0"/>
        <w:snapToGrid w:val="0"/>
        <w:spacing w:beforeLines="50"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供应商编写的磋商响应文件应由下列部分构成，并按第四章“磋商响应文件格式”要求填写。有关文件的提交如未特别注明需提供原件的，可提供复印件。</w:t>
      </w:r>
    </w:p>
    <w:p>
      <w:pPr>
        <w:tabs>
          <w:tab w:val="left" w:pos="0"/>
        </w:tabs>
        <w:adjustRightInd w:val="0"/>
        <w:snapToGrid w:val="0"/>
        <w:spacing w:beforeLines="50" w:line="360" w:lineRule="auto"/>
        <w:ind w:firstLine="720" w:firstLineChars="300"/>
        <w:rPr>
          <w:rFonts w:ascii="Times New Roman" w:hAnsi="Times New Roman" w:eastAsia="宋体" w:cs="Times New Roman"/>
          <w:color w:val="auto"/>
          <w:sz w:val="24"/>
          <w:highlight w:val="none"/>
        </w:rPr>
      </w:pPr>
      <w:bookmarkStart w:id="101" w:name="_Toc86124056"/>
      <w:bookmarkStart w:id="102" w:name="_Toc329810197"/>
      <w:bookmarkStart w:id="103" w:name="_Toc348011935"/>
      <w:r>
        <w:rPr>
          <w:rFonts w:hint="eastAsia" w:ascii="Times New Roman" w:hAnsi="Times New Roman" w:eastAsia="宋体" w:cs="Times New Roman"/>
          <w:color w:val="auto"/>
          <w:sz w:val="24"/>
          <w:highlight w:val="none"/>
        </w:rPr>
        <w:t>1）响应函</w:t>
      </w:r>
    </w:p>
    <w:p>
      <w:pPr>
        <w:tabs>
          <w:tab w:val="left" w:pos="0"/>
        </w:tabs>
        <w:adjustRightInd w:val="0"/>
        <w:snapToGrid w:val="0"/>
        <w:spacing w:beforeLines="50" w:line="360" w:lineRule="auto"/>
        <w:ind w:firstLine="720" w:firstLineChars="3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2）报价一览表</w:t>
      </w:r>
    </w:p>
    <w:p>
      <w:pPr>
        <w:tabs>
          <w:tab w:val="left" w:pos="0"/>
        </w:tabs>
        <w:adjustRightInd w:val="0"/>
        <w:snapToGrid w:val="0"/>
        <w:spacing w:beforeLines="50" w:line="360" w:lineRule="auto"/>
        <w:ind w:firstLine="720" w:firstLineChars="3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3）法定代表人资格证明书</w:t>
      </w:r>
    </w:p>
    <w:p>
      <w:pPr>
        <w:tabs>
          <w:tab w:val="left" w:pos="0"/>
        </w:tabs>
        <w:adjustRightInd w:val="0"/>
        <w:snapToGrid w:val="0"/>
        <w:spacing w:beforeLines="50" w:line="360" w:lineRule="auto"/>
        <w:ind w:firstLine="720" w:firstLineChars="3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4）法定代表人授权委托书</w:t>
      </w:r>
    </w:p>
    <w:p>
      <w:pPr>
        <w:tabs>
          <w:tab w:val="left" w:pos="0"/>
        </w:tabs>
        <w:adjustRightInd w:val="0"/>
        <w:snapToGrid w:val="0"/>
        <w:spacing w:beforeLines="50" w:line="360" w:lineRule="auto"/>
        <w:ind w:firstLine="720" w:firstLineChars="3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5）资格证明文件</w:t>
      </w:r>
    </w:p>
    <w:p>
      <w:pPr>
        <w:tabs>
          <w:tab w:val="left" w:pos="0"/>
        </w:tabs>
        <w:adjustRightInd w:val="0"/>
        <w:snapToGrid w:val="0"/>
        <w:spacing w:beforeLines="50" w:line="360" w:lineRule="auto"/>
        <w:ind w:firstLine="720" w:firstLineChars="3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6）</w:t>
      </w:r>
      <w:r>
        <w:rPr>
          <w:rFonts w:hint="eastAsia" w:ascii="Times New Roman" w:hAnsi="Times New Roman" w:eastAsia="宋体" w:cs="Times New Roman"/>
          <w:color w:val="auto"/>
          <w:sz w:val="24"/>
          <w:highlight w:val="none"/>
          <w:lang w:val="en-US" w:eastAsia="zh-CN"/>
        </w:rPr>
        <w:t>实施</w:t>
      </w:r>
      <w:r>
        <w:rPr>
          <w:rFonts w:hint="eastAsia" w:ascii="Times New Roman" w:hAnsi="Times New Roman" w:eastAsia="宋体" w:cs="Times New Roman"/>
          <w:color w:val="auto"/>
          <w:sz w:val="24"/>
          <w:highlight w:val="none"/>
        </w:rPr>
        <w:t>方案</w:t>
      </w:r>
    </w:p>
    <w:p>
      <w:pPr>
        <w:tabs>
          <w:tab w:val="left" w:pos="0"/>
        </w:tabs>
        <w:adjustRightInd w:val="0"/>
        <w:snapToGrid w:val="0"/>
        <w:spacing w:beforeLines="50" w:line="360" w:lineRule="auto"/>
        <w:ind w:firstLine="720" w:firstLineChars="3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7）质量保证、服务承诺书</w:t>
      </w:r>
    </w:p>
    <w:p>
      <w:pPr>
        <w:tabs>
          <w:tab w:val="left" w:pos="0"/>
        </w:tabs>
        <w:adjustRightInd w:val="0"/>
        <w:snapToGrid w:val="0"/>
        <w:spacing w:beforeLines="50" w:line="360" w:lineRule="auto"/>
        <w:ind w:firstLine="720" w:firstLineChars="3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8</w:t>
      </w:r>
      <w:r>
        <w:rPr>
          <w:rFonts w:ascii="Times New Roman" w:hAnsi="Times New Roman" w:eastAsia="宋体" w:cs="Times New Roman"/>
          <w:color w:val="auto"/>
          <w:sz w:val="24"/>
          <w:highlight w:val="none"/>
        </w:rPr>
        <w:t>）实施案例</w:t>
      </w:r>
    </w:p>
    <w:p>
      <w:pPr>
        <w:tabs>
          <w:tab w:val="left" w:pos="0"/>
        </w:tabs>
        <w:adjustRightInd w:val="0"/>
        <w:snapToGrid w:val="0"/>
        <w:spacing w:beforeLines="50" w:line="360" w:lineRule="auto"/>
        <w:ind w:firstLine="720" w:firstLineChars="3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9）项目人员情况表</w:t>
      </w:r>
    </w:p>
    <w:p>
      <w:pPr>
        <w:tabs>
          <w:tab w:val="left" w:pos="0"/>
        </w:tabs>
        <w:adjustRightInd w:val="0"/>
        <w:snapToGrid w:val="0"/>
        <w:spacing w:beforeLines="50" w:line="360" w:lineRule="auto"/>
        <w:ind w:firstLine="720" w:firstLineChars="3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10）构成响应文件的其他资料</w:t>
      </w:r>
    </w:p>
    <w:p>
      <w:pPr>
        <w:tabs>
          <w:tab w:val="left" w:pos="0"/>
        </w:tabs>
        <w:adjustRightInd w:val="0"/>
        <w:snapToGrid w:val="0"/>
        <w:spacing w:beforeLines="50" w:line="360" w:lineRule="auto"/>
        <w:ind w:firstLine="720" w:firstLineChars="3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11</w:t>
      </w:r>
      <w:r>
        <w:rPr>
          <w:rFonts w:ascii="Times New Roman" w:hAnsi="Times New Roman" w:eastAsia="宋体" w:cs="Times New Roman"/>
          <w:color w:val="auto"/>
          <w:sz w:val="24"/>
          <w:highlight w:val="none"/>
        </w:rPr>
        <w:t>）中小企业声明函</w:t>
      </w:r>
    </w:p>
    <w:p>
      <w:pPr>
        <w:tabs>
          <w:tab w:val="left" w:pos="0"/>
        </w:tabs>
        <w:adjustRightInd w:val="0"/>
        <w:snapToGrid w:val="0"/>
        <w:spacing w:beforeLines="50" w:line="360" w:lineRule="auto"/>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（4）</w:t>
      </w:r>
      <w:r>
        <w:rPr>
          <w:rFonts w:ascii="Times New Roman" w:hAnsi="Times New Roman" w:eastAsia="宋体" w:cs="Times New Roman"/>
          <w:color w:val="auto"/>
          <w:sz w:val="24"/>
          <w:highlight w:val="none"/>
        </w:rPr>
        <w:t>报价</w:t>
      </w:r>
      <w:bookmarkEnd w:id="101"/>
      <w:r>
        <w:rPr>
          <w:rFonts w:ascii="Times New Roman" w:hAnsi="Times New Roman" w:eastAsia="宋体" w:cs="Times New Roman"/>
          <w:color w:val="auto"/>
          <w:sz w:val="24"/>
          <w:highlight w:val="none"/>
        </w:rPr>
        <w:t>和报价货币</w:t>
      </w:r>
      <w:bookmarkEnd w:id="102"/>
      <w:bookmarkEnd w:id="103"/>
    </w:p>
    <w:p>
      <w:pPr>
        <w:tabs>
          <w:tab w:val="left" w:pos="0"/>
        </w:tabs>
        <w:adjustRightInd w:val="0"/>
        <w:snapToGrid w:val="0"/>
        <w:spacing w:beforeLines="50" w:line="360" w:lineRule="auto"/>
        <w:ind w:firstLine="480" w:firstLineChars="200"/>
        <w:rPr>
          <w:rFonts w:ascii="Times New Roman" w:hAnsi="Times New Roman" w:eastAsia="宋体" w:cs="Times New Roman"/>
          <w:color w:val="auto"/>
          <w:sz w:val="24"/>
          <w:highlight w:val="none"/>
        </w:rPr>
      </w:pPr>
      <w:bookmarkStart w:id="104" w:name="_Toc86124058"/>
      <w:bookmarkStart w:id="105" w:name="_Toc348011936"/>
      <w:bookmarkStart w:id="106" w:name="_Toc329810198"/>
      <w:r>
        <w:rPr>
          <w:rFonts w:hint="eastAsia" w:ascii="Times New Roman" w:hAnsi="Times New Roman" w:eastAsia="宋体" w:cs="Times New Roman"/>
          <w:color w:val="auto"/>
          <w:sz w:val="24"/>
          <w:highlight w:val="none"/>
        </w:rPr>
        <w:t>1）</w:t>
      </w:r>
      <w:r>
        <w:rPr>
          <w:rFonts w:ascii="Times New Roman" w:hAnsi="Times New Roman" w:eastAsia="宋体" w:cs="Times New Roman"/>
          <w:color w:val="auto"/>
          <w:sz w:val="24"/>
          <w:highlight w:val="none"/>
        </w:rPr>
        <w:t>报价指完成服务要求的各种费用及必要的保险费用和各项税金等所有费用的总和。</w:t>
      </w:r>
    </w:p>
    <w:p>
      <w:pPr>
        <w:tabs>
          <w:tab w:val="left" w:pos="0"/>
        </w:tabs>
        <w:adjustRightInd w:val="0"/>
        <w:snapToGrid w:val="0"/>
        <w:spacing w:beforeLines="50" w:line="360" w:lineRule="auto"/>
        <w:ind w:firstLine="420" w:firstLineChars="200"/>
        <w:rPr>
          <w:rFonts w:ascii="Times New Roman" w:hAnsi="Times New Roman" w:eastAsia="宋体" w:cs="Times New Roman"/>
          <w:color w:val="auto"/>
          <w:sz w:val="24"/>
          <w:highlight w:val="none"/>
        </w:rPr>
      </w:pPr>
      <w:r>
        <w:rPr>
          <w:rFonts w:ascii="Times New Roman" w:hAnsi="Times New Roman" w:cs="Times New Roman"/>
          <w:color w:val="auto"/>
          <w:szCs w:val="21"/>
          <w:highlight w:val="none"/>
        </w:rPr>
        <w:t>★</w:t>
      </w:r>
      <w:r>
        <w:rPr>
          <w:rFonts w:hint="eastAsia" w:ascii="Times New Roman" w:hAnsi="Times New Roman" w:eastAsia="宋体" w:cs="Times New Roman"/>
          <w:color w:val="auto"/>
          <w:sz w:val="24"/>
          <w:highlight w:val="none"/>
        </w:rPr>
        <w:t>2）</w:t>
      </w:r>
      <w:r>
        <w:rPr>
          <w:rFonts w:ascii="Times New Roman" w:hAnsi="Times New Roman" w:eastAsia="宋体" w:cs="Times New Roman"/>
          <w:color w:val="auto"/>
          <w:sz w:val="24"/>
          <w:highlight w:val="none"/>
        </w:rPr>
        <w:t>供应商应按磋商文件的要求</w:t>
      </w:r>
      <w:r>
        <w:rPr>
          <w:rFonts w:hint="eastAsia" w:ascii="Times New Roman" w:hAnsi="Times New Roman" w:eastAsia="宋体" w:cs="Times New Roman"/>
          <w:color w:val="auto"/>
          <w:sz w:val="24"/>
          <w:highlight w:val="none"/>
        </w:rPr>
        <w:t>，</w:t>
      </w:r>
      <w:r>
        <w:rPr>
          <w:rFonts w:ascii="Times New Roman" w:hAnsi="Times New Roman" w:eastAsia="宋体" w:cs="Times New Roman"/>
          <w:color w:val="auto"/>
          <w:sz w:val="24"/>
          <w:highlight w:val="none"/>
        </w:rPr>
        <w:t>并结合本企业的技术水平、管理水平和项目实际情况，考虑风险因素自主报价，该报价应符合市场行情并能保证供应商完成履行合同所需的一切工作。合同一旦签订，此价格在合同实施期间将不因市场价格等的变化而调整。</w:t>
      </w:r>
    </w:p>
    <w:p>
      <w:pPr>
        <w:tabs>
          <w:tab w:val="left" w:pos="0"/>
        </w:tabs>
        <w:adjustRightInd w:val="0"/>
        <w:snapToGrid w:val="0"/>
        <w:spacing w:beforeLines="50" w:line="360" w:lineRule="auto"/>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3）</w:t>
      </w:r>
      <w:r>
        <w:rPr>
          <w:rFonts w:ascii="Times New Roman" w:hAnsi="Times New Roman" w:eastAsia="宋体" w:cs="Times New Roman"/>
          <w:color w:val="auto"/>
          <w:sz w:val="24"/>
          <w:highlight w:val="none"/>
        </w:rPr>
        <w:t>供应商须就“采购需求”中所参与磋商的项目内容作完整唯一报价。</w:t>
      </w:r>
    </w:p>
    <w:p>
      <w:pPr>
        <w:tabs>
          <w:tab w:val="left" w:pos="0"/>
        </w:tabs>
        <w:adjustRightInd w:val="0"/>
        <w:snapToGrid w:val="0"/>
        <w:spacing w:beforeLines="50" w:line="360" w:lineRule="auto"/>
        <w:ind w:firstLine="420" w:firstLineChars="200"/>
        <w:rPr>
          <w:rFonts w:ascii="Times New Roman" w:hAnsi="Times New Roman" w:eastAsia="宋体" w:cs="Times New Roman"/>
          <w:color w:val="auto"/>
          <w:sz w:val="24"/>
          <w:highlight w:val="none"/>
        </w:rPr>
      </w:pPr>
      <w:r>
        <w:rPr>
          <w:rFonts w:ascii="Times New Roman" w:hAnsi="Times New Roman" w:cs="Times New Roman"/>
          <w:color w:val="auto"/>
          <w:szCs w:val="21"/>
          <w:highlight w:val="none"/>
        </w:rPr>
        <w:t>★</w:t>
      </w:r>
      <w:r>
        <w:rPr>
          <w:rFonts w:hint="eastAsia" w:ascii="Times New Roman" w:hAnsi="Times New Roman" w:eastAsia="宋体" w:cs="Times New Roman"/>
          <w:color w:val="auto"/>
          <w:sz w:val="24"/>
          <w:highlight w:val="none"/>
        </w:rPr>
        <w:t>4）</w:t>
      </w:r>
      <w:r>
        <w:rPr>
          <w:rFonts w:ascii="Times New Roman" w:hAnsi="Times New Roman" w:eastAsia="宋体" w:cs="Times New Roman"/>
          <w:color w:val="auto"/>
          <w:sz w:val="24"/>
          <w:highlight w:val="none"/>
        </w:rPr>
        <w:t>本项目只进行二</w:t>
      </w:r>
      <w:r>
        <w:rPr>
          <w:rFonts w:hint="eastAsia" w:ascii="Times New Roman" w:hAnsi="Times New Roman" w:eastAsia="宋体" w:cs="Times New Roman"/>
          <w:color w:val="auto"/>
          <w:sz w:val="24"/>
          <w:highlight w:val="none"/>
        </w:rPr>
        <w:t>轮</w:t>
      </w:r>
      <w:r>
        <w:rPr>
          <w:rFonts w:ascii="Times New Roman" w:hAnsi="Times New Roman" w:eastAsia="宋体" w:cs="Times New Roman"/>
          <w:color w:val="auto"/>
          <w:sz w:val="24"/>
          <w:highlight w:val="none"/>
        </w:rPr>
        <w:t>报价，第二轮报价为最终报价，最终报价不得超过首轮报价。</w:t>
      </w:r>
    </w:p>
    <w:p>
      <w:pPr>
        <w:tabs>
          <w:tab w:val="left" w:pos="0"/>
        </w:tabs>
        <w:adjustRightInd w:val="0"/>
        <w:snapToGrid w:val="0"/>
        <w:spacing w:beforeLines="50" w:line="360" w:lineRule="auto"/>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5）</w:t>
      </w:r>
      <w:r>
        <w:rPr>
          <w:rFonts w:ascii="Times New Roman" w:hAnsi="Times New Roman" w:eastAsia="宋体" w:cs="Times New Roman"/>
          <w:color w:val="auto"/>
          <w:sz w:val="24"/>
          <w:highlight w:val="none"/>
        </w:rPr>
        <w:t>报价货币为人民币。</w:t>
      </w:r>
    </w:p>
    <w:p>
      <w:pPr>
        <w:tabs>
          <w:tab w:val="left" w:pos="0"/>
        </w:tabs>
        <w:adjustRightInd w:val="0"/>
        <w:snapToGrid w:val="0"/>
        <w:spacing w:beforeLines="50" w:line="360" w:lineRule="auto"/>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6）</w:t>
      </w:r>
      <w:r>
        <w:rPr>
          <w:rFonts w:ascii="Times New Roman" w:hAnsi="Times New Roman" w:eastAsia="宋体" w:cs="Times New Roman"/>
          <w:color w:val="auto"/>
          <w:sz w:val="24"/>
          <w:highlight w:val="none"/>
        </w:rPr>
        <w:t>本项目采购预算详见“供应商须知前附表”，最后报价超过采购预算的供应商的响应文件将按无效文件处理。</w:t>
      </w:r>
    </w:p>
    <w:p>
      <w:pPr>
        <w:tabs>
          <w:tab w:val="left" w:pos="0"/>
        </w:tabs>
        <w:adjustRightInd w:val="0"/>
        <w:snapToGrid w:val="0"/>
        <w:spacing w:beforeLines="50" w:line="360" w:lineRule="auto"/>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（5）</w:t>
      </w:r>
      <w:r>
        <w:rPr>
          <w:rFonts w:ascii="Times New Roman" w:hAnsi="Times New Roman" w:eastAsia="宋体" w:cs="Times New Roman"/>
          <w:color w:val="auto"/>
          <w:sz w:val="24"/>
          <w:highlight w:val="none"/>
        </w:rPr>
        <w:t>有效期</w:t>
      </w:r>
      <w:bookmarkEnd w:id="104"/>
      <w:bookmarkEnd w:id="105"/>
      <w:bookmarkEnd w:id="106"/>
    </w:p>
    <w:p>
      <w:pPr>
        <w:tabs>
          <w:tab w:val="left" w:pos="0"/>
        </w:tabs>
        <w:adjustRightInd w:val="0"/>
        <w:snapToGrid w:val="0"/>
        <w:spacing w:beforeLines="50" w:line="360" w:lineRule="auto"/>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w:t>
      </w:r>
      <w:r>
        <w:rPr>
          <w:rFonts w:ascii="Times New Roman" w:hAnsi="Times New Roman" w:eastAsia="宋体" w:cs="Times New Roman"/>
          <w:color w:val="auto"/>
          <w:sz w:val="24"/>
          <w:highlight w:val="none"/>
        </w:rPr>
        <w:t>在“供应商须知前附表”规定的有效期内，供应商不得要求撤销或修改其磋商响应文件。</w:t>
      </w:r>
    </w:p>
    <w:p>
      <w:pPr>
        <w:tabs>
          <w:tab w:val="left" w:pos="0"/>
        </w:tabs>
        <w:adjustRightInd w:val="0"/>
        <w:snapToGrid w:val="0"/>
        <w:spacing w:beforeLines="50" w:line="360" w:lineRule="auto"/>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2）</w:t>
      </w:r>
      <w:r>
        <w:rPr>
          <w:rFonts w:ascii="Times New Roman" w:hAnsi="Times New Roman" w:eastAsia="宋体" w:cs="Times New Roman"/>
          <w:color w:val="auto"/>
          <w:sz w:val="24"/>
          <w:highlight w:val="none"/>
        </w:rPr>
        <w:t>因特殊情况需要延长有效期的，</w:t>
      </w:r>
      <w:r>
        <w:rPr>
          <w:rFonts w:ascii="Times New Roman" w:hAnsi="Times New Roman" w:eastAsia="宋体" w:cs="Times New Roman"/>
          <w:color w:val="auto"/>
          <w:sz w:val="24"/>
          <w:highlight w:val="none"/>
        </w:rPr>
        <w:t>采购人</w:t>
      </w:r>
      <w:r>
        <w:rPr>
          <w:rFonts w:hint="eastAsia" w:ascii="Times New Roman" w:hAnsi="Times New Roman" w:eastAsia="宋体" w:cs="Times New Roman"/>
          <w:color w:val="auto"/>
          <w:sz w:val="24"/>
          <w:highlight w:val="none"/>
          <w:lang w:val="en-US" w:eastAsia="zh-CN"/>
        </w:rPr>
        <w:t>或采购代理部门</w:t>
      </w:r>
      <w:r>
        <w:rPr>
          <w:rFonts w:ascii="Times New Roman" w:hAnsi="Times New Roman" w:eastAsia="宋体" w:cs="Times New Roman"/>
          <w:color w:val="auto"/>
          <w:sz w:val="24"/>
          <w:highlight w:val="none"/>
        </w:rPr>
        <w:t>以书面形式通知所有供应商延长有效期。供应商同意延长的，应相应延长其保证金的有效期，但不得要求或被允许修改或撤销其磋商响应文件；供应商拒绝延长的，其磋商响应文件失效，但供应商有权收回其保证金。</w:t>
      </w:r>
    </w:p>
    <w:p>
      <w:pPr>
        <w:tabs>
          <w:tab w:val="left" w:pos="0"/>
        </w:tabs>
        <w:adjustRightInd w:val="0"/>
        <w:snapToGrid w:val="0"/>
        <w:spacing w:beforeLines="50" w:line="360" w:lineRule="auto"/>
        <w:ind w:firstLine="480" w:firstLineChars="200"/>
        <w:rPr>
          <w:rFonts w:ascii="Times New Roman" w:hAnsi="Times New Roman" w:eastAsia="宋体" w:cs="Times New Roman"/>
          <w:color w:val="auto"/>
          <w:sz w:val="24"/>
          <w:highlight w:val="none"/>
        </w:rPr>
      </w:pPr>
      <w:bookmarkStart w:id="107" w:name="_Toc86124059"/>
      <w:bookmarkStart w:id="108" w:name="_Toc329810199"/>
      <w:bookmarkStart w:id="109" w:name="_Toc348011937"/>
      <w:r>
        <w:rPr>
          <w:rFonts w:hint="eastAsia" w:ascii="Times New Roman" w:hAnsi="Times New Roman" w:eastAsia="宋体" w:cs="Times New Roman"/>
          <w:color w:val="auto"/>
          <w:sz w:val="24"/>
          <w:highlight w:val="none"/>
        </w:rPr>
        <w:t>（6）</w:t>
      </w:r>
      <w:r>
        <w:rPr>
          <w:rFonts w:ascii="Times New Roman" w:hAnsi="Times New Roman" w:eastAsia="宋体" w:cs="Times New Roman"/>
          <w:color w:val="auto"/>
          <w:sz w:val="24"/>
          <w:highlight w:val="none"/>
        </w:rPr>
        <w:t>磋商响应文件的</w:t>
      </w:r>
      <w:bookmarkEnd w:id="107"/>
      <w:bookmarkEnd w:id="108"/>
      <w:r>
        <w:rPr>
          <w:rFonts w:ascii="Times New Roman" w:hAnsi="Times New Roman" w:eastAsia="宋体" w:cs="Times New Roman"/>
          <w:color w:val="auto"/>
          <w:sz w:val="24"/>
          <w:highlight w:val="none"/>
        </w:rPr>
        <w:t>编制</w:t>
      </w:r>
      <w:bookmarkEnd w:id="109"/>
    </w:p>
    <w:p>
      <w:pPr>
        <w:tabs>
          <w:tab w:val="left" w:pos="0"/>
        </w:tabs>
        <w:adjustRightInd w:val="0"/>
        <w:snapToGrid w:val="0"/>
        <w:spacing w:beforeLines="50" w:line="360" w:lineRule="auto"/>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w:t>
      </w:r>
      <w:r>
        <w:rPr>
          <w:rFonts w:ascii="Times New Roman" w:hAnsi="Times New Roman" w:eastAsia="宋体" w:cs="Times New Roman"/>
          <w:color w:val="auto"/>
          <w:sz w:val="24"/>
          <w:highlight w:val="none"/>
        </w:rPr>
        <w:t>磋商响应文件须用不褪色的墨水书写或打印。并按磋商文件要求由供应商的法定代表人或其委托代理人签字或盖单位章。委托代理人签字的，磋商响应文件应附法定代表人签署的授权委托书。</w:t>
      </w:r>
    </w:p>
    <w:p>
      <w:pPr>
        <w:tabs>
          <w:tab w:val="left" w:pos="0"/>
        </w:tabs>
        <w:adjustRightInd w:val="0"/>
        <w:snapToGrid w:val="0"/>
        <w:spacing w:beforeLines="50" w:line="360" w:lineRule="auto"/>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2）</w:t>
      </w:r>
      <w:r>
        <w:rPr>
          <w:rFonts w:ascii="Times New Roman" w:hAnsi="Times New Roman" w:eastAsia="宋体" w:cs="Times New Roman"/>
          <w:color w:val="auto"/>
          <w:sz w:val="24"/>
          <w:highlight w:val="none"/>
        </w:rPr>
        <w:t>磋商响应文件应尽量避免涂改、行间插字或删除。如果出现上述情况，改动之处应加盖单位章或供应商法定代表人或其授权的代理人签字确认。</w:t>
      </w:r>
    </w:p>
    <w:p>
      <w:pPr>
        <w:tabs>
          <w:tab w:val="left" w:pos="0"/>
        </w:tabs>
        <w:adjustRightInd w:val="0"/>
        <w:snapToGrid w:val="0"/>
        <w:spacing w:beforeLines="50" w:line="360" w:lineRule="auto"/>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3）</w:t>
      </w:r>
      <w:r>
        <w:rPr>
          <w:rFonts w:ascii="Times New Roman" w:hAnsi="Times New Roman" w:eastAsia="宋体" w:cs="Times New Roman"/>
          <w:color w:val="auto"/>
          <w:sz w:val="24"/>
          <w:highlight w:val="none"/>
        </w:rPr>
        <w:t>磋商响应文件应由法定代表人或其委托代理人在凡</w:t>
      </w:r>
      <w:r>
        <w:rPr>
          <w:rFonts w:hint="eastAsia" w:ascii="Times New Roman" w:hAnsi="Times New Roman" w:eastAsia="宋体" w:cs="Times New Roman"/>
          <w:color w:val="auto"/>
          <w:sz w:val="24"/>
          <w:highlight w:val="none"/>
        </w:rPr>
        <w:t>是</w:t>
      </w:r>
      <w:r>
        <w:rPr>
          <w:rFonts w:ascii="Times New Roman" w:hAnsi="Times New Roman" w:eastAsia="宋体" w:cs="Times New Roman"/>
          <w:color w:val="auto"/>
          <w:sz w:val="24"/>
          <w:highlight w:val="none"/>
        </w:rPr>
        <w:t>规定签字处逐一签字，要求盖章处应</w:t>
      </w:r>
      <w:r>
        <w:rPr>
          <w:rFonts w:hint="eastAsia" w:ascii="Times New Roman" w:hAnsi="Times New Roman" w:eastAsia="宋体" w:cs="Times New Roman"/>
          <w:color w:val="auto"/>
          <w:sz w:val="24"/>
          <w:highlight w:val="none"/>
        </w:rPr>
        <w:t>加</w:t>
      </w:r>
      <w:r>
        <w:rPr>
          <w:rFonts w:ascii="Times New Roman" w:hAnsi="Times New Roman" w:eastAsia="宋体" w:cs="Times New Roman"/>
          <w:color w:val="auto"/>
          <w:sz w:val="24"/>
          <w:highlight w:val="none"/>
        </w:rPr>
        <w:t>盖单位章。</w:t>
      </w:r>
    </w:p>
    <w:p>
      <w:pPr>
        <w:tabs>
          <w:tab w:val="left" w:pos="0"/>
        </w:tabs>
        <w:adjustRightInd w:val="0"/>
        <w:snapToGrid w:val="0"/>
        <w:spacing w:beforeLines="50" w:line="360" w:lineRule="auto"/>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4）</w:t>
      </w:r>
      <w:r>
        <w:rPr>
          <w:rFonts w:ascii="Times New Roman" w:hAnsi="Times New Roman" w:eastAsia="宋体" w:cs="Times New Roman"/>
          <w:color w:val="auto"/>
          <w:sz w:val="24"/>
          <w:highlight w:val="none"/>
        </w:rPr>
        <w:t>磋商响应文件应按“供应商须知前附表”中规定的数量准备正本和副本。磋商响应文件封面上应标明“正本”或“副本”以及项目名称、供应商名称等内容。若副本和正本不符，以正本为准。</w:t>
      </w:r>
    </w:p>
    <w:p>
      <w:pPr>
        <w:tabs>
          <w:tab w:val="left" w:pos="0"/>
        </w:tabs>
        <w:adjustRightInd w:val="0"/>
        <w:snapToGrid w:val="0"/>
        <w:spacing w:beforeLines="50" w:line="360" w:lineRule="auto"/>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5）</w:t>
      </w:r>
      <w:r>
        <w:rPr>
          <w:rFonts w:ascii="Times New Roman" w:hAnsi="Times New Roman" w:eastAsia="宋体" w:cs="Times New Roman"/>
          <w:color w:val="auto"/>
          <w:sz w:val="24"/>
          <w:highlight w:val="none"/>
        </w:rPr>
        <w:t>磋商响应文件正本与副本应分别装订成册，并编制目录。磋商响应文件装订应牢固，不得采用活页夹，并要求逐页标注连续页码。</w:t>
      </w:r>
    </w:p>
    <w:p>
      <w:pPr>
        <w:tabs>
          <w:tab w:val="left" w:pos="0"/>
        </w:tabs>
        <w:adjustRightInd w:val="0"/>
        <w:snapToGrid w:val="0"/>
        <w:spacing w:beforeLines="50" w:line="360" w:lineRule="auto"/>
        <w:ind w:firstLine="480" w:firstLineChars="200"/>
        <w:rPr>
          <w:rFonts w:ascii="Times New Roman" w:hAnsi="Times New Roman" w:eastAsia="宋体" w:cs="Times New Roman"/>
          <w:color w:val="auto"/>
          <w:sz w:val="24"/>
          <w:highlight w:val="none"/>
        </w:rPr>
      </w:pPr>
      <w:bookmarkStart w:id="110" w:name="_Toc329810200"/>
      <w:bookmarkStart w:id="111" w:name="_Toc348011938"/>
      <w:r>
        <w:rPr>
          <w:rFonts w:hint="eastAsia" w:ascii="Times New Roman" w:hAnsi="Times New Roman" w:eastAsia="宋体" w:cs="Times New Roman"/>
          <w:color w:val="auto"/>
          <w:sz w:val="24"/>
          <w:highlight w:val="none"/>
        </w:rPr>
        <w:t>（7）</w:t>
      </w:r>
      <w:r>
        <w:rPr>
          <w:rFonts w:ascii="Times New Roman" w:hAnsi="Times New Roman" w:eastAsia="宋体" w:cs="Times New Roman"/>
          <w:color w:val="auto"/>
          <w:sz w:val="24"/>
          <w:highlight w:val="none"/>
        </w:rPr>
        <w:t>磋商保证金</w:t>
      </w:r>
      <w:bookmarkEnd w:id="110"/>
      <w:bookmarkEnd w:id="111"/>
    </w:p>
    <w:p>
      <w:pPr>
        <w:tabs>
          <w:tab w:val="left" w:pos="0"/>
        </w:tabs>
        <w:adjustRightInd w:val="0"/>
        <w:snapToGrid w:val="0"/>
        <w:spacing w:beforeLines="50" w:line="360" w:lineRule="auto"/>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w:t>
      </w:r>
      <w:r>
        <w:rPr>
          <w:rFonts w:ascii="Times New Roman" w:hAnsi="Times New Roman" w:eastAsia="宋体" w:cs="Times New Roman"/>
          <w:color w:val="auto"/>
          <w:sz w:val="24"/>
          <w:highlight w:val="none"/>
        </w:rPr>
        <w:t>磋商保证金为人民币。供应商应在递交磋商响应文件截止时间以前按“供应商须知前附表”规定的方式及金额交至采购</w:t>
      </w:r>
      <w:r>
        <w:rPr>
          <w:rFonts w:hint="eastAsia" w:ascii="Times New Roman" w:hAnsi="Times New Roman" w:eastAsia="宋体" w:cs="Times New Roman"/>
          <w:color w:val="auto"/>
          <w:sz w:val="24"/>
          <w:highlight w:val="none"/>
        </w:rPr>
        <w:t>人</w:t>
      </w:r>
      <w:r>
        <w:rPr>
          <w:rFonts w:ascii="Times New Roman" w:hAnsi="Times New Roman" w:eastAsia="宋体" w:cs="Times New Roman"/>
          <w:color w:val="auto"/>
          <w:sz w:val="24"/>
          <w:highlight w:val="none"/>
        </w:rPr>
        <w:t>，并在磋商有效期内保持有效。</w:t>
      </w:r>
    </w:p>
    <w:p>
      <w:pPr>
        <w:tabs>
          <w:tab w:val="left" w:pos="0"/>
        </w:tabs>
        <w:adjustRightInd w:val="0"/>
        <w:snapToGrid w:val="0"/>
        <w:spacing w:beforeLines="50" w:line="360" w:lineRule="auto"/>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2）</w:t>
      </w:r>
      <w:r>
        <w:rPr>
          <w:rFonts w:ascii="Times New Roman" w:hAnsi="Times New Roman" w:eastAsia="宋体" w:cs="Times New Roman"/>
          <w:color w:val="auto"/>
          <w:sz w:val="24"/>
          <w:highlight w:val="none"/>
        </w:rPr>
        <w:t>下列情况发生时，磋商保证金将不予退还：</w:t>
      </w:r>
    </w:p>
    <w:p>
      <w:pPr>
        <w:tabs>
          <w:tab w:val="left" w:pos="0"/>
        </w:tabs>
        <w:adjustRightInd w:val="0"/>
        <w:snapToGrid w:val="0"/>
        <w:spacing w:beforeLines="50"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①供应商在磋商开始后要求撤回磋商响应文件的；</w:t>
      </w:r>
    </w:p>
    <w:p>
      <w:pPr>
        <w:tabs>
          <w:tab w:val="left" w:pos="0"/>
        </w:tabs>
        <w:adjustRightInd w:val="0"/>
        <w:snapToGrid w:val="0"/>
        <w:spacing w:beforeLines="50"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②成交后供应商无正当理由不与采购人签订合同的；</w:t>
      </w:r>
    </w:p>
    <w:p>
      <w:pPr>
        <w:tabs>
          <w:tab w:val="left" w:pos="0"/>
        </w:tabs>
        <w:adjustRightInd w:val="0"/>
        <w:snapToGrid w:val="0"/>
        <w:spacing w:beforeLines="50"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③成交人将成交项目转让给他人</w:t>
      </w:r>
      <w:r>
        <w:rPr>
          <w:rFonts w:hint="eastAsia" w:ascii="Times New Roman" w:hAnsi="Times New Roman" w:eastAsia="宋体" w:cs="Times New Roman"/>
          <w:color w:val="auto"/>
          <w:sz w:val="24"/>
          <w:highlight w:val="none"/>
        </w:rPr>
        <w:t>的</w:t>
      </w:r>
      <w:r>
        <w:rPr>
          <w:rFonts w:ascii="Times New Roman" w:hAnsi="Times New Roman" w:eastAsia="宋体" w:cs="Times New Roman"/>
          <w:color w:val="auto"/>
          <w:sz w:val="24"/>
          <w:highlight w:val="none"/>
        </w:rPr>
        <w:t>，或者在磋商响应文件中未说明</w:t>
      </w:r>
      <w:r>
        <w:rPr>
          <w:rFonts w:hint="eastAsia" w:ascii="Times New Roman" w:hAnsi="Times New Roman" w:eastAsia="宋体" w:cs="Times New Roman"/>
          <w:color w:val="auto"/>
          <w:sz w:val="24"/>
          <w:highlight w:val="none"/>
        </w:rPr>
        <w:t>的</w:t>
      </w:r>
      <w:r>
        <w:rPr>
          <w:rFonts w:ascii="Times New Roman" w:hAnsi="Times New Roman" w:eastAsia="宋体" w:cs="Times New Roman"/>
          <w:color w:val="auto"/>
          <w:sz w:val="24"/>
          <w:highlight w:val="none"/>
        </w:rPr>
        <w:t>，且未经采购人同意，将成交项目分包给他人的；</w:t>
      </w:r>
    </w:p>
    <w:p>
      <w:pPr>
        <w:tabs>
          <w:tab w:val="left" w:pos="0"/>
        </w:tabs>
        <w:adjustRightInd w:val="0"/>
        <w:snapToGrid w:val="0"/>
        <w:spacing w:beforeLines="50" w:line="360" w:lineRule="auto"/>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④</w:t>
      </w:r>
      <w:r>
        <w:rPr>
          <w:rFonts w:ascii="Times New Roman" w:hAnsi="Times New Roman" w:eastAsia="宋体" w:cs="Times New Roman"/>
          <w:color w:val="auto"/>
          <w:sz w:val="24"/>
          <w:highlight w:val="none"/>
        </w:rPr>
        <w:t>成交人拒绝履行合同义务的。</w:t>
      </w:r>
    </w:p>
    <w:p>
      <w:pPr>
        <w:pStyle w:val="4"/>
        <w:rPr>
          <w:rFonts w:ascii="Times New Roman" w:hAnsi="Times New Roman" w:eastAsia="宋体" w:cs="Times New Roman"/>
          <w:color w:val="auto"/>
          <w:highlight w:val="none"/>
        </w:rPr>
      </w:pPr>
      <w:bookmarkStart w:id="112" w:name="_Toc60996679"/>
      <w:bookmarkStart w:id="113" w:name="_Toc22352_WPSOffice_Level1"/>
      <w:bookmarkStart w:id="114" w:name="_Toc23972_WPSOffice_Level1"/>
      <w:bookmarkStart w:id="115" w:name="_Toc26127_WPSOffice_Level2"/>
      <w:bookmarkStart w:id="116" w:name="_Toc22665"/>
      <w:bookmarkStart w:id="117" w:name="_Toc3154"/>
      <w:bookmarkStart w:id="118" w:name="_三、投标文件的编制"/>
      <w:r>
        <w:rPr>
          <w:rFonts w:ascii="Times New Roman" w:hAnsi="Times New Roman" w:eastAsia="宋体" w:cs="Times New Roman"/>
          <w:color w:val="auto"/>
          <w:highlight w:val="none"/>
        </w:rPr>
        <w:t xml:space="preserve">2.3 </w:t>
      </w:r>
      <w:bookmarkEnd w:id="112"/>
      <w:bookmarkEnd w:id="113"/>
      <w:bookmarkEnd w:id="114"/>
      <w:bookmarkEnd w:id="115"/>
      <w:bookmarkEnd w:id="116"/>
      <w:r>
        <w:rPr>
          <w:rFonts w:ascii="Times New Roman" w:hAnsi="Times New Roman" w:eastAsia="宋体" w:cs="Times New Roman"/>
          <w:color w:val="auto"/>
          <w:highlight w:val="none"/>
        </w:rPr>
        <w:t>磋商响应文件的提交</w:t>
      </w:r>
      <w:bookmarkEnd w:id="117"/>
    </w:p>
    <w:bookmarkEnd w:id="118"/>
    <w:p>
      <w:pPr>
        <w:spacing w:line="460" w:lineRule="exact"/>
        <w:ind w:firstLine="720" w:firstLineChars="300"/>
        <w:rPr>
          <w:rFonts w:ascii="Times New Roman" w:hAnsi="Times New Roman" w:eastAsia="宋体" w:cs="Times New Roman"/>
          <w:color w:val="auto"/>
          <w:sz w:val="24"/>
          <w:highlight w:val="none"/>
        </w:rPr>
      </w:pPr>
      <w:bookmarkStart w:id="119" w:name="_Toc609"/>
      <w:r>
        <w:rPr>
          <w:rFonts w:ascii="Times New Roman" w:hAnsi="Times New Roman" w:eastAsia="宋体" w:cs="Times New Roman"/>
          <w:color w:val="auto"/>
          <w:sz w:val="24"/>
          <w:highlight w:val="none"/>
        </w:rPr>
        <w:t>1、</w:t>
      </w:r>
      <w:bookmarkEnd w:id="119"/>
      <w:r>
        <w:rPr>
          <w:rFonts w:ascii="Times New Roman" w:hAnsi="Times New Roman" w:eastAsia="宋体" w:cs="Times New Roman"/>
          <w:color w:val="auto"/>
          <w:sz w:val="24"/>
          <w:highlight w:val="none"/>
        </w:rPr>
        <w:t>磋商响应文件的密封与标记</w:t>
      </w:r>
    </w:p>
    <w:p>
      <w:pPr>
        <w:spacing w:line="460" w:lineRule="exact"/>
        <w:ind w:firstLine="720" w:firstLineChars="3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（1）供应商应按“供应商须知前附表”中的规定密封、标记。</w:t>
      </w:r>
    </w:p>
    <w:p>
      <w:pPr>
        <w:spacing w:line="460" w:lineRule="exact"/>
        <w:ind w:firstLine="720" w:firstLineChars="300"/>
        <w:rPr>
          <w:rFonts w:ascii="Times New Roman" w:hAnsi="Times New Roman" w:eastAsia="宋体" w:cs="Times New Roman"/>
          <w:color w:val="auto"/>
          <w:sz w:val="24"/>
          <w:highlight w:val="none"/>
        </w:rPr>
      </w:pPr>
      <w:bookmarkStart w:id="120" w:name="_Toc348011941"/>
      <w:bookmarkStart w:id="121" w:name="_Toc329810203"/>
      <w:bookmarkStart w:id="122" w:name="_Toc86124063"/>
      <w:r>
        <w:rPr>
          <w:rFonts w:hint="eastAsia" w:ascii="Times New Roman" w:hAnsi="Times New Roman" w:eastAsia="宋体" w:cs="Times New Roman"/>
          <w:color w:val="auto"/>
          <w:sz w:val="24"/>
          <w:highlight w:val="none"/>
        </w:rPr>
        <w:t>2</w:t>
      </w:r>
      <w:r>
        <w:rPr>
          <w:rFonts w:ascii="Times New Roman" w:hAnsi="Times New Roman" w:eastAsia="宋体" w:cs="Times New Roman"/>
          <w:color w:val="auto"/>
          <w:sz w:val="24"/>
          <w:highlight w:val="none"/>
        </w:rPr>
        <w:t>、递交磋商响应文件的截止时间和地点</w:t>
      </w:r>
      <w:bookmarkEnd w:id="120"/>
      <w:bookmarkEnd w:id="121"/>
      <w:bookmarkEnd w:id="122"/>
    </w:p>
    <w:p>
      <w:pPr>
        <w:spacing w:line="460" w:lineRule="exact"/>
        <w:ind w:firstLine="720" w:firstLineChars="3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w:t>
      </w:r>
      <w:r>
        <w:rPr>
          <w:rFonts w:ascii="Times New Roman" w:hAnsi="Times New Roman" w:eastAsia="宋体" w:cs="Times New Roman"/>
          <w:color w:val="auto"/>
          <w:sz w:val="24"/>
          <w:highlight w:val="none"/>
        </w:rPr>
        <w:t>磋商响应文件的递交不得迟于“供应商须知前附表”规定的递交磋商响应文件截止时间。逾期送达的磋商响应文件，采购人不予接收。</w:t>
      </w:r>
    </w:p>
    <w:p>
      <w:pPr>
        <w:spacing w:line="460" w:lineRule="exact"/>
        <w:ind w:firstLine="720" w:firstLineChars="3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（2）</w:t>
      </w:r>
      <w:r>
        <w:rPr>
          <w:rFonts w:ascii="Times New Roman" w:hAnsi="Times New Roman" w:eastAsia="宋体" w:cs="Times New Roman"/>
          <w:color w:val="auto"/>
          <w:sz w:val="24"/>
          <w:highlight w:val="none"/>
        </w:rPr>
        <w:t>供应商必须在规定时间内将磋商响应文件递交到“供应商须知前附表”规定的地点。</w:t>
      </w:r>
    </w:p>
    <w:p>
      <w:pPr>
        <w:spacing w:line="460" w:lineRule="exact"/>
        <w:ind w:firstLine="720" w:firstLineChars="3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（3）</w:t>
      </w:r>
      <w:r>
        <w:rPr>
          <w:rFonts w:ascii="Times New Roman" w:hAnsi="Times New Roman" w:eastAsia="宋体" w:cs="Times New Roman"/>
          <w:color w:val="auto"/>
          <w:sz w:val="24"/>
          <w:highlight w:val="none"/>
        </w:rPr>
        <w:t>除“供应商须知前附表”另有规定外，供应商所递交的磋商响应文件不予退还。</w:t>
      </w:r>
    </w:p>
    <w:p>
      <w:pPr>
        <w:pStyle w:val="6"/>
        <w:ind w:firstLine="720" w:firstLineChars="3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（4）未按要求封装、逾期送达的或者未送达指定地点的响应文件，采购方或者代理机构不予受理。</w:t>
      </w:r>
    </w:p>
    <w:p>
      <w:pPr>
        <w:spacing w:line="460" w:lineRule="exact"/>
        <w:ind w:firstLine="720" w:firstLineChars="3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（5）响应文件的修改与撤回</w:t>
      </w:r>
    </w:p>
    <w:p>
      <w:pPr>
        <w:spacing w:line="460" w:lineRule="exact"/>
        <w:ind w:firstLine="720" w:firstLineChars="3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 在规定的磋商开始时间前，供应商可以修改或撤回已递交的响应文件，并应以书面形式通知采购人或采购代理机构。</w:t>
      </w:r>
    </w:p>
    <w:p>
      <w:pPr>
        <w:spacing w:line="460" w:lineRule="exact"/>
        <w:ind w:firstLine="720" w:firstLineChars="3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2） 供应商修改或撤回已递交响应文件的通知应按照本章“</w:t>
      </w:r>
      <w:r>
        <w:rPr>
          <w:rFonts w:ascii="Times New Roman" w:hAnsi="Times New Roman" w:eastAsia="宋体" w:cs="Times New Roman"/>
          <w:color w:val="auto"/>
          <w:sz w:val="24"/>
          <w:highlight w:val="none"/>
        </w:rPr>
        <w:t>磋商响应文件的编制</w:t>
      </w:r>
      <w:r>
        <w:rPr>
          <w:rFonts w:hint="eastAsia" w:ascii="Times New Roman" w:hAnsi="Times New Roman" w:eastAsia="宋体" w:cs="Times New Roman"/>
          <w:color w:val="auto"/>
          <w:sz w:val="24"/>
          <w:highlight w:val="none"/>
        </w:rPr>
        <w:t>”的要求签字、盖章；采购人收到书面通知后，向供应商出具签收凭证。</w:t>
      </w:r>
    </w:p>
    <w:p>
      <w:pPr>
        <w:spacing w:line="460" w:lineRule="exact"/>
        <w:ind w:firstLine="720" w:firstLineChars="3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3） 修改的内容为响应文件的组成部分。修改的响应文件应按照本章响应文件编制、提交要求进行编制、密封、标记和递交，并标明“修改”字样。</w:t>
      </w:r>
    </w:p>
    <w:p>
      <w:pPr>
        <w:pStyle w:val="4"/>
        <w:rPr>
          <w:rFonts w:ascii="Times New Roman" w:hAnsi="Times New Roman" w:eastAsia="宋体" w:cs="Times New Roman"/>
          <w:color w:val="auto"/>
          <w:highlight w:val="none"/>
        </w:rPr>
      </w:pPr>
      <w:bookmarkStart w:id="123" w:name="_Toc60996680"/>
      <w:bookmarkStart w:id="124" w:name="_Toc25217_WPSOffice_Level2"/>
      <w:bookmarkStart w:id="125" w:name="_Toc17346_WPSOffice_Level1"/>
      <w:bookmarkStart w:id="126" w:name="_Toc16736"/>
      <w:bookmarkStart w:id="127" w:name="_Toc19285_WPSOffice_Level1"/>
      <w:bookmarkStart w:id="128" w:name="_Toc18520"/>
      <w:bookmarkStart w:id="129" w:name="_四、投标文件的提交"/>
      <w:r>
        <w:rPr>
          <w:rFonts w:ascii="Times New Roman" w:hAnsi="Times New Roman" w:eastAsia="宋体" w:cs="Times New Roman"/>
          <w:color w:val="auto"/>
          <w:highlight w:val="none"/>
        </w:rPr>
        <w:t xml:space="preserve">2.4 </w:t>
      </w:r>
      <w:bookmarkEnd w:id="123"/>
      <w:bookmarkEnd w:id="124"/>
      <w:bookmarkEnd w:id="125"/>
      <w:bookmarkEnd w:id="126"/>
      <w:bookmarkEnd w:id="127"/>
      <w:r>
        <w:rPr>
          <w:rFonts w:ascii="Times New Roman" w:hAnsi="Times New Roman" w:eastAsia="宋体" w:cs="Times New Roman"/>
          <w:color w:val="auto"/>
          <w:highlight w:val="none"/>
        </w:rPr>
        <w:t>磋商</w:t>
      </w:r>
      <w:bookmarkEnd w:id="128"/>
    </w:p>
    <w:bookmarkEnd w:id="129"/>
    <w:p>
      <w:pPr>
        <w:spacing w:line="460" w:lineRule="exact"/>
        <w:ind w:firstLine="480" w:firstLineChars="200"/>
        <w:rPr>
          <w:rFonts w:ascii="Times New Roman" w:hAnsi="Times New Roman" w:eastAsia="宋体" w:cs="Times New Roman"/>
          <w:color w:val="auto"/>
          <w:sz w:val="24"/>
          <w:highlight w:val="none"/>
        </w:rPr>
      </w:pPr>
      <w:bookmarkStart w:id="130" w:name="_Toc20426"/>
      <w:r>
        <w:rPr>
          <w:rFonts w:ascii="Times New Roman" w:hAnsi="Times New Roman" w:eastAsia="宋体" w:cs="Times New Roman"/>
          <w:color w:val="auto"/>
          <w:sz w:val="24"/>
          <w:highlight w:val="none"/>
        </w:rPr>
        <w:t>1、</w:t>
      </w:r>
      <w:bookmarkEnd w:id="130"/>
      <w:r>
        <w:rPr>
          <w:rFonts w:ascii="Times New Roman" w:hAnsi="Times New Roman" w:eastAsia="宋体" w:cs="Times New Roman"/>
          <w:color w:val="auto"/>
          <w:sz w:val="24"/>
          <w:highlight w:val="none"/>
        </w:rPr>
        <w:t>磋商</w:t>
      </w:r>
    </w:p>
    <w:p>
      <w:pPr>
        <w:spacing w:line="460" w:lineRule="exact"/>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w:t>
      </w:r>
      <w:r>
        <w:rPr>
          <w:rFonts w:ascii="Times New Roman" w:hAnsi="Times New Roman" w:eastAsia="宋体" w:cs="Times New Roman"/>
          <w:color w:val="auto"/>
          <w:sz w:val="24"/>
          <w:highlight w:val="none"/>
        </w:rPr>
        <w:t>采购</w:t>
      </w:r>
      <w:r>
        <w:rPr>
          <w:rFonts w:hint="eastAsia" w:ascii="Times New Roman" w:hAnsi="Times New Roman" w:eastAsia="宋体" w:cs="Times New Roman"/>
          <w:color w:val="auto"/>
          <w:sz w:val="24"/>
          <w:highlight w:val="none"/>
        </w:rPr>
        <w:t>人</w:t>
      </w:r>
      <w:r>
        <w:rPr>
          <w:rFonts w:ascii="Times New Roman" w:hAnsi="Times New Roman" w:eastAsia="宋体" w:cs="Times New Roman"/>
          <w:color w:val="auto"/>
          <w:sz w:val="24"/>
          <w:highlight w:val="none"/>
        </w:rPr>
        <w:t>将在“供应商须知前附表”规定的时间和地点进行磋商，供应商的法定代表人或其委托代理人应按时参加。</w:t>
      </w:r>
    </w:p>
    <w:p>
      <w:pPr>
        <w:spacing w:line="460" w:lineRule="exact"/>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（2）</w:t>
      </w:r>
      <w:r>
        <w:rPr>
          <w:rFonts w:ascii="Times New Roman" w:hAnsi="Times New Roman" w:eastAsia="宋体" w:cs="Times New Roman"/>
          <w:color w:val="auto"/>
          <w:sz w:val="24"/>
          <w:highlight w:val="none"/>
        </w:rPr>
        <w:t>磋商由磋商小组负责。磋商小组由有关技术、经济等方面的专家组成，成员人数应当为三人及以上单数。其中，技术、经济等方面的专家不得少于成员总数的三分之二。磋商应当推选组长，但采购人代表不得担任组长。</w:t>
      </w:r>
    </w:p>
    <w:p>
      <w:pPr>
        <w:spacing w:line="460" w:lineRule="exact"/>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（3）</w:t>
      </w:r>
      <w:r>
        <w:rPr>
          <w:rFonts w:ascii="Times New Roman" w:hAnsi="Times New Roman" w:eastAsia="宋体" w:cs="Times New Roman"/>
          <w:color w:val="auto"/>
          <w:sz w:val="24"/>
          <w:highlight w:val="none"/>
        </w:rPr>
        <w:t>磋商原则</w:t>
      </w:r>
    </w:p>
    <w:p>
      <w:pPr>
        <w:spacing w:line="460" w:lineRule="exact"/>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根据《中华人民共和国政府采购法》、《中华人民共和国政府采购法实施条例》</w:t>
      </w:r>
      <w:r>
        <w:rPr>
          <w:rFonts w:hint="eastAsia" w:ascii="Times New Roman" w:hAnsi="Times New Roman" w:eastAsia="宋体" w:cs="Times New Roman"/>
          <w:color w:val="auto"/>
          <w:sz w:val="24"/>
          <w:highlight w:val="none"/>
        </w:rPr>
        <w:t>以</w:t>
      </w:r>
      <w:r>
        <w:rPr>
          <w:rFonts w:ascii="Times New Roman" w:hAnsi="Times New Roman" w:eastAsia="宋体" w:cs="Times New Roman"/>
          <w:color w:val="auto"/>
          <w:sz w:val="24"/>
          <w:highlight w:val="none"/>
        </w:rPr>
        <w:t>及省、市有关规定，磋商小组成员按照客观、公正、谨慎的原则，根据磋商文件规定的评审程序、评审方法和评审标准进行独立评审。根据排名先后确定成交候选供应商。</w:t>
      </w:r>
    </w:p>
    <w:p>
      <w:pPr>
        <w:spacing w:line="460" w:lineRule="exact"/>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（4）</w:t>
      </w:r>
      <w:r>
        <w:rPr>
          <w:rFonts w:ascii="Times New Roman" w:hAnsi="Times New Roman" w:eastAsia="宋体" w:cs="Times New Roman"/>
          <w:color w:val="auto"/>
          <w:sz w:val="24"/>
          <w:highlight w:val="none"/>
        </w:rPr>
        <w:t>磋商程序和方法</w:t>
      </w:r>
    </w:p>
    <w:p>
      <w:pPr>
        <w:spacing w:line="460" w:lineRule="exact"/>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磋商小组按照第六章“磋商程序和方法”规定的方法、因素、标准和程序进行磋商。</w:t>
      </w:r>
    </w:p>
    <w:p>
      <w:pPr>
        <w:spacing w:line="460" w:lineRule="exact"/>
        <w:ind w:firstLine="480" w:firstLineChars="200"/>
        <w:rPr>
          <w:rFonts w:ascii="Times New Roman" w:hAnsi="Times New Roman" w:eastAsia="宋体" w:cs="Times New Roman"/>
          <w:color w:val="auto"/>
          <w:sz w:val="24"/>
          <w:highlight w:val="none"/>
        </w:rPr>
      </w:pPr>
      <w:bookmarkStart w:id="131" w:name="_Toc348011944"/>
      <w:bookmarkStart w:id="132" w:name="_Toc86124067"/>
      <w:bookmarkStart w:id="133" w:name="_Toc329810207"/>
      <w:r>
        <w:rPr>
          <w:rFonts w:hint="eastAsia" w:ascii="Times New Roman" w:hAnsi="Times New Roman" w:eastAsia="宋体" w:cs="Times New Roman"/>
          <w:color w:val="auto"/>
          <w:sz w:val="24"/>
          <w:highlight w:val="none"/>
        </w:rPr>
        <w:t>2</w:t>
      </w:r>
      <w:r>
        <w:rPr>
          <w:rFonts w:ascii="Times New Roman" w:hAnsi="Times New Roman" w:eastAsia="宋体" w:cs="Times New Roman"/>
          <w:color w:val="auto"/>
          <w:sz w:val="24"/>
          <w:highlight w:val="none"/>
        </w:rPr>
        <w:t>、磋商过程的保密</w:t>
      </w:r>
      <w:bookmarkEnd w:id="131"/>
      <w:bookmarkEnd w:id="132"/>
      <w:bookmarkEnd w:id="133"/>
    </w:p>
    <w:p>
      <w:pPr>
        <w:spacing w:line="460" w:lineRule="exact"/>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w:t>
      </w:r>
      <w:r>
        <w:rPr>
          <w:rFonts w:ascii="Times New Roman" w:hAnsi="Times New Roman" w:eastAsia="宋体" w:cs="Times New Roman"/>
          <w:color w:val="auto"/>
          <w:sz w:val="24"/>
          <w:highlight w:val="none"/>
        </w:rPr>
        <w:t>在磋商中，磋商的任何一方不得透露与磋商有关的其他供应商的技术资料、价格和其他信息。磋商开始后，直到授予供应商合同止，凡是属于审查、澄清、磋商和比较的有关资料以及成交建议等均不向供应商或其他人员透露。</w:t>
      </w:r>
    </w:p>
    <w:p>
      <w:pPr>
        <w:spacing w:line="460" w:lineRule="exact"/>
        <w:ind w:firstLine="480" w:firstLineChars="200"/>
        <w:rPr>
          <w:rFonts w:ascii="Times New Roman" w:hAnsi="Times New Roman" w:eastAsia="宋体" w:cs="Times New Roman"/>
          <w:color w:val="auto"/>
          <w:sz w:val="24"/>
          <w:highlight w:val="none"/>
        </w:rPr>
      </w:pPr>
      <w:bookmarkStart w:id="134" w:name="_Toc329810208"/>
      <w:bookmarkStart w:id="135" w:name="_Toc86124068"/>
      <w:bookmarkStart w:id="136" w:name="_Toc348011945"/>
      <w:r>
        <w:rPr>
          <w:rFonts w:hint="eastAsia" w:ascii="Times New Roman" w:hAnsi="Times New Roman" w:eastAsia="宋体" w:cs="Times New Roman"/>
          <w:color w:val="auto"/>
          <w:sz w:val="24"/>
          <w:highlight w:val="none"/>
        </w:rPr>
        <w:t>3</w:t>
      </w:r>
      <w:r>
        <w:rPr>
          <w:rFonts w:ascii="Times New Roman" w:hAnsi="Times New Roman" w:eastAsia="宋体" w:cs="Times New Roman"/>
          <w:color w:val="auto"/>
          <w:sz w:val="24"/>
          <w:highlight w:val="none"/>
        </w:rPr>
        <w:t>、出现下列情形之一的，项目磋商失败：</w:t>
      </w:r>
      <w:bookmarkEnd w:id="134"/>
      <w:bookmarkEnd w:id="135"/>
      <w:bookmarkEnd w:id="136"/>
    </w:p>
    <w:p>
      <w:pPr>
        <w:spacing w:line="460" w:lineRule="exact"/>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（1）符合专业条件的供应商或者对竞争性磋商文件作实质响应的供应商不足2家的；</w:t>
      </w:r>
    </w:p>
    <w:p>
      <w:pPr>
        <w:spacing w:line="460" w:lineRule="exact"/>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（2）出现影响采购公正的违法、违规行为的；</w:t>
      </w:r>
    </w:p>
    <w:p>
      <w:pPr>
        <w:spacing w:line="460" w:lineRule="exact"/>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（3）供应商的最终报价均超过了采购预算，采购人不能支付的；</w:t>
      </w:r>
    </w:p>
    <w:p>
      <w:pPr>
        <w:spacing w:line="460" w:lineRule="exact"/>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（4）因</w:t>
      </w:r>
      <w:r>
        <w:rPr>
          <w:rFonts w:hint="eastAsia" w:ascii="Times New Roman" w:hAnsi="Times New Roman" w:eastAsia="宋体" w:cs="Times New Roman"/>
          <w:color w:val="auto"/>
          <w:sz w:val="24"/>
          <w:highlight w:val="none"/>
        </w:rPr>
        <w:t>出现</w:t>
      </w:r>
      <w:r>
        <w:rPr>
          <w:rFonts w:ascii="Times New Roman" w:hAnsi="Times New Roman" w:eastAsia="宋体" w:cs="Times New Roman"/>
          <w:color w:val="auto"/>
          <w:sz w:val="24"/>
          <w:highlight w:val="none"/>
        </w:rPr>
        <w:t>重大变故，采购任务取消的。</w:t>
      </w:r>
    </w:p>
    <w:p>
      <w:pPr>
        <w:spacing w:line="460" w:lineRule="exact"/>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项目磋商失败后，采购人应当将失败理由通知所有供应商。</w:t>
      </w:r>
    </w:p>
    <w:p>
      <w:pPr>
        <w:spacing w:line="460" w:lineRule="exact"/>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（5）投标人未实质性响应招标文件要求：</w:t>
      </w:r>
    </w:p>
    <w:p>
      <w:pPr>
        <w:spacing w:line="460" w:lineRule="exact"/>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在投标文件中未按照要求提供产品的合格证明、报价、售后服务承诺等实质性内容的（或弄虚作假，夸大其词，照搬照抄招标文件技术参数）、无技术偏离表、报价错乱、无售后服务承诺等实质性内容的。</w:t>
      </w:r>
    </w:p>
    <w:p>
      <w:pPr>
        <w:pStyle w:val="4"/>
        <w:rPr>
          <w:rFonts w:ascii="Times New Roman" w:hAnsi="Times New Roman" w:eastAsia="宋体" w:cs="Times New Roman"/>
          <w:color w:val="auto"/>
          <w:highlight w:val="none"/>
        </w:rPr>
      </w:pPr>
      <w:bookmarkStart w:id="137" w:name="_Toc69565538"/>
      <w:bookmarkStart w:id="138" w:name="_Toc17391"/>
      <w:bookmarkStart w:id="139" w:name="_Toc15762"/>
      <w:r>
        <w:rPr>
          <w:rFonts w:ascii="Times New Roman" w:hAnsi="Times New Roman" w:eastAsia="宋体" w:cs="Times New Roman"/>
          <w:color w:val="auto"/>
          <w:highlight w:val="none"/>
        </w:rPr>
        <w:t xml:space="preserve">2.5 </w:t>
      </w:r>
      <w:bookmarkEnd w:id="137"/>
      <w:bookmarkEnd w:id="138"/>
      <w:r>
        <w:rPr>
          <w:rFonts w:ascii="Times New Roman" w:hAnsi="Times New Roman" w:eastAsia="宋体" w:cs="Times New Roman"/>
          <w:color w:val="auto"/>
          <w:highlight w:val="none"/>
        </w:rPr>
        <w:t>成交结果</w:t>
      </w:r>
      <w:bookmarkEnd w:id="139"/>
    </w:p>
    <w:p>
      <w:pPr>
        <w:adjustRightInd w:val="0"/>
        <w:spacing w:line="440" w:lineRule="exact"/>
        <w:ind w:firstLine="460" w:firstLineChars="192"/>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1、成交人的确定</w:t>
      </w:r>
    </w:p>
    <w:p>
      <w:pPr>
        <w:adjustRightInd w:val="0"/>
        <w:spacing w:line="440" w:lineRule="exact"/>
        <w:ind w:firstLine="460" w:firstLineChars="192"/>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（1）采购人</w:t>
      </w:r>
      <w:r>
        <w:rPr>
          <w:rFonts w:hint="eastAsia" w:ascii="Times New Roman" w:hAnsi="Times New Roman" w:eastAsia="宋体" w:cs="Times New Roman"/>
          <w:color w:val="auto"/>
          <w:sz w:val="24"/>
          <w:highlight w:val="none"/>
        </w:rPr>
        <w:t>根据磋商小组的</w:t>
      </w:r>
      <w:r>
        <w:rPr>
          <w:rFonts w:ascii="Times New Roman" w:hAnsi="Times New Roman" w:eastAsia="宋体" w:cs="Times New Roman"/>
          <w:color w:val="auto"/>
          <w:sz w:val="24"/>
          <w:highlight w:val="none"/>
        </w:rPr>
        <w:t>评审报告，按照</w:t>
      </w:r>
      <w:r>
        <w:rPr>
          <w:rFonts w:hint="eastAsia" w:ascii="Times New Roman" w:hAnsi="Times New Roman" w:eastAsia="宋体" w:cs="Times New Roman"/>
          <w:color w:val="auto"/>
          <w:sz w:val="24"/>
          <w:highlight w:val="none"/>
        </w:rPr>
        <w:t>得分</w:t>
      </w:r>
      <w:r>
        <w:rPr>
          <w:rFonts w:ascii="Times New Roman" w:hAnsi="Times New Roman" w:eastAsia="宋体" w:cs="Times New Roman"/>
          <w:color w:val="auto"/>
          <w:sz w:val="24"/>
          <w:highlight w:val="none"/>
        </w:rPr>
        <w:t>排序由高到低的原则确定成交供应商。</w:t>
      </w:r>
    </w:p>
    <w:p>
      <w:pPr>
        <w:adjustRightInd w:val="0"/>
        <w:spacing w:line="440" w:lineRule="exact"/>
        <w:ind w:firstLine="460" w:firstLineChars="192"/>
        <w:rPr>
          <w:rFonts w:ascii="Times New Roman" w:hAnsi="Times New Roman" w:eastAsia="宋体" w:cs="Times New Roman"/>
          <w:color w:val="auto"/>
          <w:sz w:val="24"/>
          <w:highlight w:val="none"/>
        </w:rPr>
      </w:pPr>
      <w:bookmarkStart w:id="140" w:name="_Toc329810211"/>
      <w:bookmarkStart w:id="141" w:name="_Toc348011948"/>
      <w:r>
        <w:rPr>
          <w:rFonts w:hint="eastAsia" w:ascii="Times New Roman" w:hAnsi="Times New Roman" w:eastAsia="宋体" w:cs="Times New Roman"/>
          <w:color w:val="auto"/>
          <w:sz w:val="24"/>
          <w:highlight w:val="none"/>
        </w:rPr>
        <w:t>2</w:t>
      </w:r>
      <w:r>
        <w:rPr>
          <w:rFonts w:ascii="Times New Roman" w:hAnsi="Times New Roman" w:eastAsia="宋体" w:cs="Times New Roman"/>
          <w:color w:val="auto"/>
          <w:sz w:val="24"/>
          <w:highlight w:val="none"/>
        </w:rPr>
        <w:t>、成交通知书</w:t>
      </w:r>
      <w:bookmarkEnd w:id="140"/>
      <w:bookmarkEnd w:id="141"/>
    </w:p>
    <w:p>
      <w:pPr>
        <w:adjustRightInd w:val="0"/>
        <w:spacing w:line="440" w:lineRule="exact"/>
        <w:ind w:firstLine="460" w:firstLineChars="192"/>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（1）成交人确定后，成交结果</w:t>
      </w:r>
      <w:r>
        <w:rPr>
          <w:rFonts w:hint="eastAsia" w:ascii="Times New Roman" w:hAnsi="Times New Roman" w:eastAsia="宋体" w:cs="Times New Roman"/>
          <w:color w:val="auto"/>
          <w:sz w:val="24"/>
          <w:highlight w:val="none"/>
        </w:rPr>
        <w:t>在</w:t>
      </w:r>
      <w:r>
        <w:rPr>
          <w:rFonts w:ascii="Times New Roman" w:hAnsi="Times New Roman" w:eastAsia="宋体" w:cs="Times New Roman"/>
          <w:color w:val="auto"/>
          <w:sz w:val="24"/>
          <w:highlight w:val="none"/>
        </w:rPr>
        <w:t>楚雄医药高等专科学校保卫处招标信息栏公示，同时向成交人发出成交通知书。</w:t>
      </w:r>
    </w:p>
    <w:p>
      <w:pPr>
        <w:adjustRightInd w:val="0"/>
        <w:spacing w:line="440" w:lineRule="exact"/>
        <w:ind w:firstLine="460" w:firstLineChars="192"/>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w:t>
      </w:r>
      <w:r>
        <w:rPr>
          <w:rFonts w:hint="eastAsia" w:ascii="Times New Roman" w:hAnsi="Times New Roman" w:eastAsia="宋体" w:cs="Times New Roman"/>
          <w:color w:val="auto"/>
          <w:sz w:val="24"/>
          <w:highlight w:val="none"/>
        </w:rPr>
        <w:t>2</w:t>
      </w:r>
      <w:r>
        <w:rPr>
          <w:rFonts w:ascii="Times New Roman" w:hAnsi="Times New Roman" w:eastAsia="宋体" w:cs="Times New Roman"/>
          <w:color w:val="auto"/>
          <w:sz w:val="24"/>
          <w:highlight w:val="none"/>
        </w:rPr>
        <w:t>）成交通知书是合同的一个组成部分。</w:t>
      </w:r>
    </w:p>
    <w:p>
      <w:pPr>
        <w:adjustRightInd w:val="0"/>
        <w:spacing w:line="440" w:lineRule="exact"/>
        <w:ind w:firstLine="460" w:firstLineChars="192"/>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w:t>
      </w:r>
      <w:r>
        <w:rPr>
          <w:rFonts w:hint="eastAsia" w:ascii="Times New Roman" w:hAnsi="Times New Roman" w:eastAsia="宋体" w:cs="Times New Roman"/>
          <w:color w:val="auto"/>
          <w:sz w:val="24"/>
          <w:highlight w:val="none"/>
        </w:rPr>
        <w:t>3</w:t>
      </w:r>
      <w:r>
        <w:rPr>
          <w:rFonts w:ascii="Times New Roman" w:hAnsi="Times New Roman" w:eastAsia="宋体" w:cs="Times New Roman"/>
          <w:color w:val="auto"/>
          <w:sz w:val="24"/>
          <w:highlight w:val="none"/>
        </w:rPr>
        <w:t>）采购</w:t>
      </w:r>
      <w:r>
        <w:rPr>
          <w:rFonts w:hint="eastAsia" w:ascii="Times New Roman" w:hAnsi="Times New Roman" w:eastAsia="宋体" w:cs="Times New Roman"/>
          <w:color w:val="auto"/>
          <w:sz w:val="24"/>
          <w:highlight w:val="none"/>
        </w:rPr>
        <w:t>人</w:t>
      </w:r>
      <w:r>
        <w:rPr>
          <w:rFonts w:ascii="Times New Roman" w:hAnsi="Times New Roman" w:eastAsia="宋体" w:cs="Times New Roman"/>
          <w:color w:val="auto"/>
          <w:sz w:val="24"/>
          <w:highlight w:val="none"/>
        </w:rPr>
        <w:t>无义务向未成交人解释未成交原因和退回磋商响应文件。</w:t>
      </w:r>
    </w:p>
    <w:p>
      <w:pPr>
        <w:adjustRightInd w:val="0"/>
        <w:spacing w:line="440" w:lineRule="exact"/>
        <w:ind w:firstLine="460" w:firstLineChars="192"/>
        <w:rPr>
          <w:rFonts w:ascii="Times New Roman" w:hAnsi="Times New Roman" w:eastAsia="宋体" w:cs="Times New Roman"/>
          <w:color w:val="auto"/>
          <w:sz w:val="24"/>
          <w:highlight w:val="none"/>
        </w:rPr>
      </w:pPr>
      <w:bookmarkStart w:id="142" w:name="_Toc348011949"/>
      <w:bookmarkStart w:id="143" w:name="_Toc86124072"/>
      <w:bookmarkStart w:id="144" w:name="_Toc329810212"/>
      <w:r>
        <w:rPr>
          <w:rFonts w:hint="eastAsia" w:ascii="Times New Roman" w:hAnsi="Times New Roman" w:eastAsia="宋体" w:cs="Times New Roman"/>
          <w:color w:val="auto"/>
          <w:sz w:val="24"/>
          <w:highlight w:val="none"/>
        </w:rPr>
        <w:t>3</w:t>
      </w:r>
      <w:r>
        <w:rPr>
          <w:rFonts w:ascii="Times New Roman" w:hAnsi="Times New Roman" w:eastAsia="宋体" w:cs="Times New Roman"/>
          <w:color w:val="auto"/>
          <w:sz w:val="24"/>
          <w:highlight w:val="none"/>
        </w:rPr>
        <w:t>、签订合同</w:t>
      </w:r>
      <w:bookmarkEnd w:id="142"/>
      <w:bookmarkEnd w:id="143"/>
      <w:bookmarkEnd w:id="144"/>
    </w:p>
    <w:p>
      <w:pPr>
        <w:adjustRightInd w:val="0"/>
        <w:spacing w:line="440" w:lineRule="exact"/>
        <w:ind w:firstLine="460" w:firstLineChars="192"/>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采购人与成交供应商应当在成交通知书发出之日起30日内，按照磋商文件确定的合同文本以及采购标的、规格型号、采购金额、采购数量、技术和服务要求等事项签订政府采购合同。如成交通知书发出之日起30日内，成交人未与采购人联系协商合同签订事宜，则视为自动放弃本次成交，采购人有权单方面终止成交人的成交资格，并重新组织竞争性磋商，所发生的一切法律和经济责任由成交人承担。</w:t>
      </w:r>
    </w:p>
    <w:p>
      <w:pPr>
        <w:adjustRightInd w:val="0"/>
        <w:spacing w:line="440" w:lineRule="exact"/>
        <w:ind w:firstLine="460" w:firstLineChars="192"/>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w:t>
      </w:r>
      <w:r>
        <w:rPr>
          <w:rFonts w:hint="eastAsia" w:ascii="Times New Roman" w:hAnsi="Times New Roman" w:eastAsia="宋体" w:cs="Times New Roman"/>
          <w:color w:val="auto"/>
          <w:sz w:val="24"/>
          <w:highlight w:val="none"/>
        </w:rPr>
        <w:t>2</w:t>
      </w:r>
      <w:r>
        <w:rPr>
          <w:rFonts w:ascii="Times New Roman" w:hAnsi="Times New Roman" w:eastAsia="宋体" w:cs="Times New Roman"/>
          <w:color w:val="auto"/>
          <w:sz w:val="24"/>
          <w:highlight w:val="none"/>
        </w:rPr>
        <w:t>）成交人因不可抗力或者自身原因不能履行政府采购合同的，采购人可以与排位在成交人之后第一位的成交候选供应商协商签订政府采购合同，以此类推。也可以重新组织竞争性磋商。</w:t>
      </w:r>
    </w:p>
    <w:p>
      <w:pPr>
        <w:adjustRightInd w:val="0"/>
        <w:spacing w:line="440" w:lineRule="exact"/>
        <w:ind w:firstLine="460" w:firstLineChars="192"/>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w:t>
      </w:r>
      <w:r>
        <w:rPr>
          <w:rFonts w:hint="eastAsia" w:ascii="Times New Roman" w:hAnsi="Times New Roman" w:eastAsia="宋体" w:cs="Times New Roman"/>
          <w:color w:val="auto"/>
          <w:sz w:val="24"/>
          <w:highlight w:val="none"/>
        </w:rPr>
        <w:t>3</w:t>
      </w:r>
      <w:r>
        <w:rPr>
          <w:rFonts w:ascii="Times New Roman" w:hAnsi="Times New Roman" w:eastAsia="宋体" w:cs="Times New Roman"/>
          <w:color w:val="auto"/>
          <w:sz w:val="24"/>
          <w:highlight w:val="none"/>
        </w:rPr>
        <w:t>）政府采购合同履行中，采购人需追加与合同标的相同的工程的，在不改变合同其他条款的前提下，可以与供应商协商签订补充合同或工程签证，纳入最终审计结算。</w:t>
      </w:r>
    </w:p>
    <w:p>
      <w:pPr>
        <w:adjustRightInd w:val="0"/>
        <w:spacing w:line="440" w:lineRule="exact"/>
        <w:ind w:firstLine="460" w:firstLineChars="192"/>
        <w:rPr>
          <w:rFonts w:ascii="Times New Roman" w:hAnsi="Times New Roman" w:eastAsia="宋体" w:cs="Times New Roman"/>
          <w:color w:val="auto"/>
          <w:sz w:val="24"/>
          <w:highlight w:val="none"/>
        </w:rPr>
      </w:pPr>
      <w:bookmarkStart w:id="145" w:name="_Toc86124073"/>
      <w:bookmarkStart w:id="146" w:name="_Toc348011950"/>
      <w:bookmarkStart w:id="147" w:name="_Toc329810213"/>
      <w:r>
        <w:rPr>
          <w:rFonts w:ascii="Times New Roman" w:hAnsi="Times New Roman" w:eastAsia="宋体" w:cs="Times New Roman"/>
          <w:color w:val="auto"/>
          <w:sz w:val="24"/>
          <w:highlight w:val="none"/>
        </w:rPr>
        <w:t>4、履约保证金</w:t>
      </w:r>
      <w:bookmarkEnd w:id="145"/>
      <w:bookmarkEnd w:id="146"/>
      <w:bookmarkEnd w:id="147"/>
    </w:p>
    <w:p>
      <w:pPr>
        <w:adjustRightInd w:val="0"/>
        <w:spacing w:line="440" w:lineRule="exact"/>
        <w:ind w:firstLine="460" w:firstLineChars="192"/>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本项目履约保证金</w:t>
      </w:r>
      <w:r>
        <w:rPr>
          <w:rFonts w:hint="eastAsia" w:ascii="Times New Roman" w:hAnsi="Times New Roman" w:eastAsia="宋体" w:cs="Times New Roman"/>
          <w:color w:val="auto"/>
          <w:sz w:val="24"/>
          <w:highlight w:val="none"/>
        </w:rPr>
        <w:t>按合同金额的3%，以转账的方式缴纳。</w:t>
      </w:r>
    </w:p>
    <w:p>
      <w:pPr>
        <w:pStyle w:val="4"/>
        <w:rPr>
          <w:rFonts w:ascii="Times New Roman" w:hAnsi="Times New Roman" w:eastAsia="宋体" w:cs="Times New Roman"/>
          <w:color w:val="auto"/>
          <w:highlight w:val="none"/>
        </w:rPr>
      </w:pPr>
      <w:bookmarkStart w:id="148" w:name="_Toc20013"/>
      <w:r>
        <w:rPr>
          <w:rFonts w:ascii="Times New Roman" w:hAnsi="Times New Roman" w:eastAsia="宋体" w:cs="Times New Roman"/>
          <w:color w:val="auto"/>
          <w:highlight w:val="none"/>
        </w:rPr>
        <w:t>2.6 其他事项</w:t>
      </w:r>
      <w:bookmarkEnd w:id="148"/>
    </w:p>
    <w:bookmarkEnd w:id="62"/>
    <w:p>
      <w:pPr>
        <w:adjustRightInd w:val="0"/>
        <w:spacing w:line="440" w:lineRule="exact"/>
        <w:ind w:firstLine="460" w:firstLineChars="192"/>
        <w:rPr>
          <w:rFonts w:ascii="Times New Roman" w:hAnsi="Times New Roman" w:eastAsia="宋体" w:cs="Times New Roman"/>
          <w:color w:val="auto"/>
          <w:sz w:val="24"/>
          <w:highlight w:val="none"/>
        </w:rPr>
      </w:pPr>
      <w:bookmarkStart w:id="149" w:name="_Toc348011954"/>
      <w:bookmarkStart w:id="150" w:name="_Toc329810217"/>
      <w:bookmarkStart w:id="151" w:name="_Toc32340_WPSOffice_Level2"/>
      <w:bookmarkStart w:id="152" w:name="_Toc20297_WPSOffice_Level1"/>
      <w:bookmarkStart w:id="153" w:name="_Toc60996684"/>
      <w:r>
        <w:rPr>
          <w:rFonts w:hint="eastAsia" w:ascii="Times New Roman" w:hAnsi="Times New Roman" w:eastAsia="宋体" w:cs="Times New Roman"/>
          <w:color w:val="auto"/>
          <w:sz w:val="24"/>
          <w:highlight w:val="none"/>
        </w:rPr>
        <w:t>1、磋商文件编制依据</w:t>
      </w:r>
      <w:bookmarkEnd w:id="149"/>
      <w:bookmarkEnd w:id="150"/>
    </w:p>
    <w:p>
      <w:pPr>
        <w:adjustRightInd w:val="0"/>
        <w:spacing w:line="440" w:lineRule="exact"/>
        <w:ind w:firstLine="460" w:firstLineChars="192"/>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本磋商文件是根据《中华人民共和国政府采购法》、《中华人民共和国政府采购实施条例》、《政府采购竞争性磋商采购方式管理暂行办法》及相关法律法规编制。</w:t>
      </w:r>
    </w:p>
    <w:p>
      <w:pPr>
        <w:adjustRightInd w:val="0"/>
        <w:spacing w:line="440" w:lineRule="exact"/>
        <w:ind w:firstLine="460" w:firstLineChars="192"/>
        <w:rPr>
          <w:rFonts w:ascii="Times New Roman" w:hAnsi="Times New Roman" w:eastAsia="宋体" w:cs="Times New Roman"/>
          <w:color w:val="auto"/>
          <w:sz w:val="24"/>
          <w:highlight w:val="none"/>
        </w:rPr>
      </w:pPr>
      <w:bookmarkStart w:id="154" w:name="_Toc86124077"/>
      <w:bookmarkStart w:id="155" w:name="_Toc348011955"/>
      <w:bookmarkStart w:id="156" w:name="_Toc329810218"/>
      <w:r>
        <w:rPr>
          <w:rFonts w:hint="eastAsia" w:ascii="Times New Roman" w:hAnsi="Times New Roman" w:eastAsia="宋体" w:cs="Times New Roman"/>
          <w:color w:val="auto"/>
          <w:sz w:val="24"/>
          <w:highlight w:val="none"/>
        </w:rPr>
        <w:t>2、需要补充的其他内容</w:t>
      </w:r>
      <w:bookmarkEnd w:id="154"/>
      <w:bookmarkEnd w:id="155"/>
      <w:bookmarkEnd w:id="156"/>
    </w:p>
    <w:p>
      <w:pPr>
        <w:adjustRightInd w:val="0"/>
        <w:spacing w:line="440" w:lineRule="exact"/>
        <w:ind w:firstLine="460" w:firstLineChars="192"/>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需要补充的其他内容：见“供应商须知前附表”。</w:t>
      </w:r>
    </w:p>
    <w:p>
      <w:pPr>
        <w:rPr>
          <w:color w:val="auto"/>
          <w:highlight w:val="none"/>
        </w:rPr>
        <w:sectPr>
          <w:pgSz w:w="11906" w:h="16838"/>
          <w:pgMar w:top="1418" w:right="1134" w:bottom="1134" w:left="1417" w:header="936" w:footer="720" w:gutter="0"/>
          <w:cols w:space="720" w:num="1"/>
          <w:docGrid w:linePitch="331" w:charSpace="0"/>
        </w:sectPr>
      </w:pPr>
    </w:p>
    <w:bookmarkEnd w:id="151"/>
    <w:bookmarkEnd w:id="152"/>
    <w:bookmarkEnd w:id="153"/>
    <w:p>
      <w:pPr>
        <w:pStyle w:val="3"/>
        <w:numPr>
          <w:ilvl w:val="0"/>
          <w:numId w:val="3"/>
        </w:numPr>
        <w:jc w:val="center"/>
        <w:rPr>
          <w:rFonts w:ascii="Times New Roman" w:hAnsi="Times New Roman" w:cs="Times New Roman"/>
          <w:color w:val="auto"/>
          <w:highlight w:val="none"/>
        </w:rPr>
      </w:pPr>
      <w:bookmarkStart w:id="157" w:name="_Toc18165"/>
      <w:r>
        <w:rPr>
          <w:rFonts w:hint="eastAsia" w:ascii="Times New Roman" w:hAnsi="Times New Roman" w:cs="Times New Roman"/>
          <w:color w:val="auto"/>
          <w:highlight w:val="none"/>
        </w:rPr>
        <w:t>合同书样式及主要条款</w:t>
      </w:r>
      <w:bookmarkEnd w:id="157"/>
    </w:p>
    <w:p>
      <w:pPr>
        <w:pStyle w:val="9"/>
        <w:ind w:left="0" w:leftChars="0" w:right="1470"/>
        <w:rPr>
          <w:rFonts w:ascii="宋体" w:hAnsi="宋体" w:eastAsia="宋体" w:cs="宋体"/>
          <w:b/>
          <w:bCs/>
          <w:color w:val="auto"/>
          <w:kern w:val="44"/>
          <w:sz w:val="32"/>
          <w:szCs w:val="32"/>
          <w:highlight w:val="none"/>
        </w:rPr>
      </w:pPr>
      <w:bookmarkStart w:id="158" w:name="_Toc27123_WPSOffice_Level2"/>
      <w:bookmarkStart w:id="159" w:name="_Toc60996686"/>
      <w:bookmarkStart w:id="160" w:name="_Toc22115_WPSOffice_Level1"/>
      <w:bookmarkStart w:id="161" w:name="_第四章__投标文件格式"/>
    </w:p>
    <w:p>
      <w:pPr>
        <w:spacing w:line="360" w:lineRule="auto"/>
        <w:jc w:val="center"/>
        <w:rPr>
          <w:rFonts w:ascii="宋体" w:hAnsi="宋体" w:cs="Times New Roman"/>
          <w:b/>
          <w:color w:val="auto"/>
          <w:sz w:val="44"/>
          <w:szCs w:val="44"/>
          <w:highlight w:val="none"/>
        </w:rPr>
      </w:pPr>
      <w:r>
        <w:rPr>
          <w:rFonts w:hint="eastAsia" w:ascii="宋体" w:hAnsi="宋体" w:cs="Times New Roman"/>
          <w:b/>
          <w:color w:val="auto"/>
          <w:sz w:val="44"/>
          <w:szCs w:val="44"/>
          <w:highlight w:val="none"/>
        </w:rPr>
        <w:t>楚雄医药高等专科学校食堂餐具洗消间服务</w:t>
      </w:r>
    </w:p>
    <w:p>
      <w:pPr>
        <w:tabs>
          <w:tab w:val="left" w:pos="720"/>
        </w:tabs>
        <w:spacing w:line="360" w:lineRule="auto"/>
        <w:jc w:val="center"/>
        <w:rPr>
          <w:rFonts w:ascii="宋体" w:hAnsi="宋体" w:eastAsia="宋体" w:cs="宋体"/>
          <w:b/>
          <w:color w:val="auto"/>
          <w:sz w:val="48"/>
          <w:szCs w:val="48"/>
          <w:highlight w:val="none"/>
        </w:rPr>
      </w:pPr>
      <w:r>
        <w:rPr>
          <w:rFonts w:hint="eastAsia" w:ascii="宋体" w:hAnsi="宋体" w:cs="Times New Roman"/>
          <w:b/>
          <w:color w:val="auto"/>
          <w:sz w:val="44"/>
          <w:szCs w:val="44"/>
          <w:highlight w:val="none"/>
        </w:rPr>
        <w:t>采购项目</w:t>
      </w:r>
    </w:p>
    <w:p>
      <w:pPr>
        <w:tabs>
          <w:tab w:val="left" w:pos="720"/>
        </w:tabs>
        <w:spacing w:line="360" w:lineRule="auto"/>
        <w:jc w:val="center"/>
        <w:rPr>
          <w:rFonts w:ascii="宋体" w:hAnsi="宋体" w:eastAsia="宋体" w:cs="宋体"/>
          <w:b/>
          <w:color w:val="auto"/>
          <w:sz w:val="48"/>
          <w:szCs w:val="48"/>
          <w:highlight w:val="none"/>
        </w:rPr>
      </w:pPr>
    </w:p>
    <w:p>
      <w:pPr>
        <w:tabs>
          <w:tab w:val="left" w:pos="720"/>
        </w:tabs>
        <w:spacing w:line="360" w:lineRule="auto"/>
        <w:rPr>
          <w:rFonts w:ascii="宋体" w:hAnsi="宋体" w:eastAsia="宋体" w:cs="宋体"/>
          <w:b/>
          <w:color w:val="auto"/>
          <w:szCs w:val="21"/>
          <w:highlight w:val="none"/>
        </w:rPr>
      </w:pPr>
    </w:p>
    <w:p>
      <w:pPr>
        <w:tabs>
          <w:tab w:val="left" w:pos="720"/>
        </w:tabs>
        <w:spacing w:line="360" w:lineRule="auto"/>
        <w:jc w:val="center"/>
        <w:rPr>
          <w:rFonts w:ascii="宋体" w:hAnsi="宋体" w:eastAsia="宋体" w:cs="宋体"/>
          <w:b/>
          <w:color w:val="auto"/>
          <w:sz w:val="48"/>
          <w:szCs w:val="48"/>
          <w:highlight w:val="none"/>
        </w:rPr>
      </w:pPr>
      <w:bookmarkStart w:id="162" w:name="_Toc19285_WPSOffice_Level3"/>
      <w:bookmarkStart w:id="163" w:name="_Toc20297_WPSOffice_Level2"/>
      <w:r>
        <w:rPr>
          <w:rFonts w:hint="eastAsia" w:ascii="宋体" w:hAnsi="宋体" w:eastAsia="宋体" w:cs="宋体"/>
          <w:b/>
          <w:color w:val="auto"/>
          <w:sz w:val="48"/>
          <w:szCs w:val="48"/>
          <w:highlight w:val="none"/>
        </w:rPr>
        <w:t>合　同　书</w:t>
      </w:r>
      <w:bookmarkEnd w:id="162"/>
      <w:bookmarkEnd w:id="163"/>
    </w:p>
    <w:p>
      <w:pPr>
        <w:tabs>
          <w:tab w:val="left" w:pos="720"/>
        </w:tabs>
        <w:spacing w:line="360" w:lineRule="auto"/>
        <w:rPr>
          <w:rFonts w:ascii="宋体" w:hAnsi="宋体" w:eastAsia="宋体" w:cs="宋体"/>
          <w:b/>
          <w:color w:val="auto"/>
          <w:szCs w:val="21"/>
          <w:highlight w:val="none"/>
        </w:rPr>
      </w:pPr>
    </w:p>
    <w:p>
      <w:pPr>
        <w:pStyle w:val="28"/>
        <w:rPr>
          <w:color w:val="auto"/>
          <w:highlight w:val="none"/>
        </w:rPr>
      </w:pPr>
    </w:p>
    <w:p>
      <w:pPr>
        <w:snapToGrid w:val="0"/>
        <w:spacing w:beforeLines="30" w:line="500" w:lineRule="exact"/>
        <w:rPr>
          <w:rFonts w:ascii="宋体" w:hAnsi="宋体" w:eastAsia="宋体" w:cs="宋体"/>
          <w:b/>
          <w:color w:val="auto"/>
          <w:sz w:val="24"/>
          <w:highlight w:val="none"/>
        </w:rPr>
      </w:pPr>
    </w:p>
    <w:p>
      <w:pPr>
        <w:snapToGrid w:val="0"/>
        <w:spacing w:beforeLines="30" w:line="500" w:lineRule="exact"/>
        <w:ind w:firstLine="1063" w:firstLineChars="441"/>
        <w:rPr>
          <w:rFonts w:ascii="宋体" w:hAnsi="宋体" w:eastAsia="宋体" w:cs="宋体"/>
          <w:b/>
          <w:color w:val="auto"/>
          <w:sz w:val="24"/>
          <w:highlight w:val="none"/>
        </w:rPr>
      </w:pPr>
      <w:r>
        <w:rPr>
          <w:rFonts w:hint="eastAsia" w:ascii="宋体" w:hAnsi="宋体" w:eastAsia="宋体" w:cs="宋体"/>
          <w:b/>
          <w:color w:val="auto"/>
          <w:sz w:val="24"/>
          <w:highlight w:val="none"/>
        </w:rPr>
        <w:t>委 托 方（甲方）：</w:t>
      </w:r>
    </w:p>
    <w:p>
      <w:pPr>
        <w:snapToGrid w:val="0"/>
        <w:spacing w:beforeLines="30" w:line="500" w:lineRule="exact"/>
        <w:ind w:firstLine="1063" w:firstLineChars="441"/>
        <w:rPr>
          <w:rFonts w:ascii="宋体" w:hAnsi="宋体" w:eastAsia="宋体" w:cs="宋体"/>
          <w:b/>
          <w:color w:val="auto"/>
          <w:sz w:val="24"/>
          <w:highlight w:val="none"/>
        </w:rPr>
      </w:pPr>
      <w:r>
        <w:rPr>
          <w:rFonts w:hint="eastAsia" w:ascii="宋体" w:hAnsi="宋体" w:eastAsia="宋体" w:cs="宋体"/>
          <w:b/>
          <w:color w:val="auto"/>
          <w:sz w:val="24"/>
          <w:highlight w:val="none"/>
        </w:rPr>
        <w:t>受委托方（乙方）：</w:t>
      </w:r>
    </w:p>
    <w:p>
      <w:pPr>
        <w:snapToGrid w:val="0"/>
        <w:spacing w:beforeLines="30" w:line="500" w:lineRule="exact"/>
        <w:ind w:firstLine="1058" w:firstLineChars="439"/>
        <w:rPr>
          <w:rFonts w:ascii="宋体" w:hAnsi="宋体" w:eastAsia="宋体" w:cs="宋体"/>
          <w:b/>
          <w:color w:val="auto"/>
          <w:sz w:val="24"/>
          <w:highlight w:val="none"/>
        </w:rPr>
      </w:pPr>
    </w:p>
    <w:p>
      <w:pPr>
        <w:autoSpaceDE w:val="0"/>
        <w:autoSpaceDN w:val="0"/>
        <w:adjustRightInd w:val="0"/>
        <w:rPr>
          <w:rFonts w:ascii="宋体" w:hAnsi="宋体" w:eastAsia="宋体" w:cs="宋体"/>
          <w:color w:val="auto"/>
          <w:sz w:val="24"/>
          <w:highlight w:val="none"/>
        </w:rPr>
      </w:pPr>
    </w:p>
    <w:p>
      <w:pPr>
        <w:snapToGrid w:val="0"/>
        <w:spacing w:beforeLines="30" w:line="500" w:lineRule="exact"/>
        <w:rPr>
          <w:rFonts w:ascii="宋体" w:hAnsi="宋体" w:eastAsia="宋体" w:cs="宋体"/>
          <w:b/>
          <w:color w:val="auto"/>
          <w:sz w:val="24"/>
          <w:highlight w:val="none"/>
        </w:rPr>
      </w:pPr>
    </w:p>
    <w:p>
      <w:pPr>
        <w:snapToGrid w:val="0"/>
        <w:spacing w:beforeLines="30" w:line="500" w:lineRule="exact"/>
        <w:ind w:firstLine="1063" w:firstLineChars="441"/>
        <w:rPr>
          <w:rFonts w:ascii="宋体" w:hAnsi="宋体" w:eastAsia="宋体" w:cs="宋体"/>
          <w:b/>
          <w:color w:val="auto"/>
          <w:sz w:val="24"/>
          <w:highlight w:val="none"/>
        </w:rPr>
      </w:pPr>
      <w:r>
        <w:rPr>
          <w:rFonts w:hint="eastAsia" w:ascii="宋体" w:hAnsi="宋体" w:eastAsia="宋体" w:cs="宋体"/>
          <w:b/>
          <w:color w:val="auto"/>
          <w:sz w:val="24"/>
          <w:highlight w:val="none"/>
        </w:rPr>
        <w:t>签定地点：</w:t>
      </w:r>
    </w:p>
    <w:p>
      <w:pPr>
        <w:snapToGrid w:val="0"/>
        <w:spacing w:beforeLines="30" w:line="500" w:lineRule="exact"/>
        <w:rPr>
          <w:rFonts w:ascii="宋体" w:hAnsi="宋体" w:eastAsia="宋体" w:cs="宋体"/>
          <w:b/>
          <w:color w:val="auto"/>
          <w:sz w:val="24"/>
          <w:highlight w:val="none"/>
        </w:rPr>
      </w:pPr>
    </w:p>
    <w:p>
      <w:pPr>
        <w:tabs>
          <w:tab w:val="left" w:pos="720"/>
        </w:tabs>
        <w:spacing w:line="360" w:lineRule="auto"/>
        <w:ind w:firstLine="964" w:firstLineChars="400"/>
        <w:rPr>
          <w:rFonts w:ascii="宋体" w:hAnsi="宋体" w:eastAsia="宋体" w:cs="宋体"/>
          <w:b/>
          <w:color w:val="auto"/>
          <w:szCs w:val="21"/>
          <w:highlight w:val="none"/>
        </w:rPr>
      </w:pPr>
      <w:r>
        <w:rPr>
          <w:rFonts w:hint="eastAsia" w:ascii="宋体" w:hAnsi="宋体" w:eastAsia="宋体" w:cs="宋体"/>
          <w:b/>
          <w:color w:val="auto"/>
          <w:sz w:val="24"/>
          <w:highlight w:val="none"/>
        </w:rPr>
        <w:t>签定日期：</w:t>
      </w:r>
    </w:p>
    <w:p>
      <w:pPr>
        <w:tabs>
          <w:tab w:val="left" w:pos="720"/>
        </w:tabs>
        <w:spacing w:line="360" w:lineRule="auto"/>
        <w:rPr>
          <w:rFonts w:ascii="宋体" w:hAnsi="宋体" w:eastAsia="宋体" w:cs="宋体"/>
          <w:b/>
          <w:color w:val="auto"/>
          <w:szCs w:val="21"/>
          <w:highlight w:val="none"/>
        </w:rPr>
      </w:pPr>
    </w:p>
    <w:p>
      <w:pPr>
        <w:spacing w:line="360" w:lineRule="auto"/>
        <w:rPr>
          <w:rFonts w:ascii="宋体" w:hAnsi="宋体" w:eastAsia="宋体" w:cs="宋体"/>
          <w:color w:val="auto"/>
          <w:szCs w:val="21"/>
          <w:highlight w:val="none"/>
        </w:rPr>
      </w:pPr>
    </w:p>
    <w:p>
      <w:pPr>
        <w:spacing w:line="360" w:lineRule="auto"/>
        <w:rPr>
          <w:rFonts w:ascii="宋体" w:hAnsi="宋体" w:eastAsia="宋体" w:cs="宋体"/>
          <w:b/>
          <w:color w:val="auto"/>
          <w:szCs w:val="21"/>
          <w:highlight w:val="none"/>
        </w:rPr>
      </w:pPr>
      <w:r>
        <w:rPr>
          <w:rFonts w:hint="eastAsia" w:ascii="宋体" w:hAnsi="宋体" w:eastAsia="宋体" w:cs="宋体"/>
          <w:b/>
          <w:color w:val="auto"/>
          <w:szCs w:val="21"/>
          <w:highlight w:val="none"/>
        </w:rPr>
        <w:t>注：本合同仅为合同的参考文本，合同签订双方可根据项目的具体要求进行修订。</w:t>
      </w:r>
    </w:p>
    <w:p>
      <w:pPr>
        <w:adjustRightInd w:val="0"/>
        <w:snapToGrid w:val="0"/>
        <w:spacing w:beforeLines="50" w:line="360" w:lineRule="auto"/>
        <w:rPr>
          <w:rFonts w:ascii="宋体" w:hAnsi="宋体" w:eastAsia="宋体" w:cs="宋体"/>
          <w:b/>
          <w:color w:val="auto"/>
          <w:szCs w:val="21"/>
          <w:highlight w:val="none"/>
        </w:rPr>
      </w:pPr>
    </w:p>
    <w:p>
      <w:pPr>
        <w:spacing w:line="360" w:lineRule="auto"/>
        <w:ind w:firstLine="562" w:firstLineChars="200"/>
        <w:rPr>
          <w:rFonts w:ascii="宋体" w:hAnsi="宋体" w:eastAsia="宋体" w:cs="宋体"/>
          <w:b/>
          <w:color w:val="auto"/>
          <w:sz w:val="28"/>
          <w:szCs w:val="21"/>
          <w:highlight w:val="none"/>
        </w:rPr>
      </w:pPr>
    </w:p>
    <w:p>
      <w:pPr>
        <w:rPr>
          <w:rFonts w:ascii="宋体" w:hAnsi="宋体" w:eastAsia="宋体" w:cs="宋体"/>
          <w:b/>
          <w:color w:val="auto"/>
          <w:szCs w:val="21"/>
          <w:highlight w:val="none"/>
        </w:rPr>
        <w:sectPr>
          <w:pgSz w:w="11906" w:h="16838"/>
          <w:pgMar w:top="1418" w:right="1134" w:bottom="1134" w:left="1417" w:header="936" w:footer="720" w:gutter="0"/>
          <w:cols w:space="720" w:num="1"/>
          <w:docGrid w:linePitch="331" w:charSpace="0"/>
        </w:sectPr>
      </w:pPr>
    </w:p>
    <w:p>
      <w:pPr>
        <w:spacing w:line="360" w:lineRule="auto"/>
        <w:rPr>
          <w:rFonts w:ascii="Times New Roman" w:hAnsi="Times New Roman" w:cs="Times New Roman"/>
          <w:color w:val="auto"/>
          <w:sz w:val="24"/>
          <w:highlight w:val="none"/>
        </w:rPr>
      </w:pPr>
      <w:r>
        <w:rPr>
          <w:rFonts w:ascii="Times New Roman" w:hAnsi="Times New Roman" w:cs="Times New Roman"/>
          <w:color w:val="auto"/>
          <w:sz w:val="24"/>
          <w:highlight w:val="none"/>
        </w:rPr>
        <w:t>甲方</w:t>
      </w:r>
      <w:r>
        <w:rPr>
          <w:rFonts w:hint="eastAsia" w:ascii="Times New Roman" w:hAnsi="Times New Roman" w:cs="Times New Roman"/>
          <w:color w:val="auto"/>
          <w:sz w:val="24"/>
          <w:highlight w:val="none"/>
        </w:rPr>
        <w:t>：</w:t>
      </w:r>
      <w:r>
        <w:rPr>
          <w:rFonts w:hint="eastAsia" w:ascii="Times New Roman" w:hAnsi="Times New Roman" w:eastAsia="宋体" w:cs="Times New Roman"/>
          <w:color w:val="auto"/>
          <w:sz w:val="24"/>
          <w:highlight w:val="none"/>
        </w:rPr>
        <w:t>各食堂餐饮管理服务机构及委托经营人</w:t>
      </w:r>
      <w:r>
        <w:rPr>
          <w:rFonts w:ascii="Times New Roman" w:hAnsi="Times New Roman" w:cs="Times New Roman"/>
          <w:color w:val="auto"/>
          <w:sz w:val="24"/>
          <w:highlight w:val="none"/>
        </w:rPr>
        <w:t>（以下简称甲方）</w:t>
      </w:r>
    </w:p>
    <w:p>
      <w:pPr>
        <w:spacing w:line="360" w:lineRule="auto"/>
        <w:rPr>
          <w:rFonts w:hint="eastAsia" w:ascii="Times New Roman" w:hAnsi="Times New Roman" w:cs="Times New Roman"/>
          <w:color w:val="auto"/>
          <w:sz w:val="24"/>
          <w:highlight w:val="none"/>
        </w:rPr>
      </w:pPr>
      <w:r>
        <w:rPr>
          <w:rFonts w:ascii="Times New Roman" w:hAnsi="Times New Roman" w:cs="Times New Roman"/>
          <w:color w:val="auto"/>
          <w:sz w:val="24"/>
          <w:highlight w:val="none"/>
        </w:rPr>
        <w:t>乙方</w:t>
      </w:r>
      <w:r>
        <w:rPr>
          <w:rFonts w:hint="eastAsia" w:ascii="Times New Roman" w:hAnsi="Times New Roman" w:cs="Times New Roman"/>
          <w:color w:val="auto"/>
          <w:sz w:val="24"/>
          <w:highlight w:val="none"/>
        </w:rPr>
        <w:t>：</w:t>
      </w:r>
      <w:r>
        <w:rPr>
          <w:rFonts w:ascii="Times New Roman" w:hAnsi="Times New Roman" w:cs="Times New Roman"/>
          <w:color w:val="auto"/>
          <w:sz w:val="24"/>
          <w:highlight w:val="none"/>
        </w:rPr>
        <w:t xml:space="preserve">                （以下简称乙方）</w:t>
      </w:r>
    </w:p>
    <w:p>
      <w:pPr>
        <w:spacing w:line="360" w:lineRule="auto"/>
        <w:rPr>
          <w:rFonts w:ascii="Times New Roman" w:hAnsi="Times New Roman" w:cs="Times New Roman"/>
          <w:color w:val="auto"/>
          <w:sz w:val="24"/>
          <w:highlight w:val="none"/>
        </w:rPr>
      </w:pPr>
    </w:p>
    <w:p>
      <w:pPr>
        <w:spacing w:line="360" w:lineRule="auto"/>
        <w:ind w:firstLine="480" w:firstLineChars="200"/>
        <w:rPr>
          <w:rFonts w:ascii="Times New Roman" w:hAnsi="Times New Roman" w:eastAsia="宋体" w:cs="Times New Roman"/>
          <w:color w:val="auto"/>
          <w:kern w:val="0"/>
          <w:sz w:val="24"/>
          <w:szCs w:val="20"/>
          <w:highlight w:val="none"/>
        </w:rPr>
      </w:pPr>
      <w:r>
        <w:rPr>
          <w:rFonts w:ascii="Times New Roman" w:hAnsi="Times New Roman" w:cs="Times New Roman"/>
          <w:color w:val="auto"/>
          <w:sz w:val="24"/>
          <w:highlight w:val="none"/>
        </w:rPr>
        <w:t>经甲、乙</w:t>
      </w:r>
      <w:r>
        <w:rPr>
          <w:rFonts w:hint="eastAsia" w:ascii="Times New Roman" w:hAnsi="Times New Roman" w:cs="Times New Roman"/>
          <w:color w:val="auto"/>
          <w:sz w:val="24"/>
          <w:highlight w:val="none"/>
        </w:rPr>
        <w:t>、丙</w:t>
      </w:r>
      <w:r>
        <w:rPr>
          <w:rFonts w:ascii="Times New Roman" w:hAnsi="Times New Roman" w:cs="Times New Roman"/>
          <w:color w:val="auto"/>
          <w:sz w:val="24"/>
          <w:highlight w:val="none"/>
        </w:rPr>
        <w:t>双方友好协商，就</w:t>
      </w:r>
      <w:r>
        <w:rPr>
          <w:rFonts w:hint="eastAsia" w:ascii="Times New Roman" w:hAnsi="Times New Roman" w:cs="Times New Roman"/>
          <w:color w:val="auto"/>
          <w:sz w:val="24"/>
          <w:highlight w:val="none"/>
        </w:rPr>
        <w:t>楚雄医药高等专科学校食堂餐具洗消间服务采购项目</w:t>
      </w:r>
      <w:r>
        <w:rPr>
          <w:rFonts w:ascii="Times New Roman" w:hAnsi="Times New Roman" w:eastAsia="宋体" w:cs="Times New Roman"/>
          <w:color w:val="auto"/>
          <w:sz w:val="24"/>
          <w:highlight w:val="none"/>
        </w:rPr>
        <w:t>，本</w:t>
      </w:r>
      <w:r>
        <w:rPr>
          <w:rFonts w:ascii="Times New Roman" w:hAnsi="Times New Roman" w:cs="Times New Roman"/>
          <w:color w:val="auto"/>
          <w:sz w:val="24"/>
          <w:highlight w:val="none"/>
        </w:rPr>
        <w:t>着自愿、平等、公平、诚实、信用、互利互惠的原则，根据中华人民共和国有关法律、法规的规定签订本协议，由</w:t>
      </w:r>
      <w:r>
        <w:rPr>
          <w:rFonts w:hint="eastAsia" w:ascii="Times New Roman" w:hAnsi="Times New Roman" w:cs="Times New Roman"/>
          <w:color w:val="auto"/>
          <w:sz w:val="24"/>
          <w:highlight w:val="none"/>
        </w:rPr>
        <w:t>双</w:t>
      </w:r>
      <w:r>
        <w:rPr>
          <w:rFonts w:ascii="Times New Roman" w:hAnsi="Times New Roman" w:cs="Times New Roman"/>
          <w:color w:val="auto"/>
          <w:sz w:val="24"/>
          <w:highlight w:val="none"/>
        </w:rPr>
        <w:t>方共同遵守。</w:t>
      </w:r>
    </w:p>
    <w:p>
      <w:pPr>
        <w:spacing w:beforeLines="30" w:line="500" w:lineRule="exact"/>
        <w:rPr>
          <w:rFonts w:ascii="Times New Roman" w:hAnsi="Times New Roman" w:eastAsia="宋体" w:cs="Times New Roman"/>
          <w:b/>
          <w:color w:val="auto"/>
          <w:sz w:val="24"/>
          <w:highlight w:val="none"/>
        </w:rPr>
      </w:pPr>
      <w:r>
        <w:rPr>
          <w:rFonts w:ascii="Times New Roman" w:hAnsi="Times New Roman" w:eastAsia="宋体" w:cs="Times New Roman"/>
          <w:b/>
          <w:color w:val="auto"/>
          <w:sz w:val="24"/>
          <w:highlight w:val="none"/>
        </w:rPr>
        <w:t>一、</w:t>
      </w:r>
      <w:r>
        <w:rPr>
          <w:rFonts w:hint="eastAsia" w:ascii="Times New Roman" w:hAnsi="Times New Roman" w:eastAsia="宋体" w:cs="Times New Roman"/>
          <w:b/>
          <w:color w:val="auto"/>
          <w:sz w:val="24"/>
          <w:highlight w:val="none"/>
        </w:rPr>
        <w:t>服务</w:t>
      </w:r>
      <w:r>
        <w:rPr>
          <w:rFonts w:ascii="Times New Roman" w:hAnsi="Times New Roman" w:eastAsia="宋体" w:cs="Times New Roman"/>
          <w:b/>
          <w:color w:val="auto"/>
          <w:sz w:val="24"/>
          <w:highlight w:val="none"/>
        </w:rPr>
        <w:t>内容</w:t>
      </w:r>
    </w:p>
    <w:p>
      <w:pPr>
        <w:spacing w:line="460" w:lineRule="exact"/>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成交</w:t>
      </w:r>
      <w:r>
        <w:rPr>
          <w:rFonts w:hint="eastAsia" w:ascii="Times New Roman" w:hAnsi="Times New Roman" w:eastAsia="宋体" w:cs="Times New Roman"/>
          <w:color w:val="auto"/>
          <w:sz w:val="24"/>
          <w:highlight w:val="none"/>
        </w:rPr>
        <w:t>服务商须统一着装，对楚雄医药高等专科学校食堂洗消间提供餐具清洗消毒服务；承担餐具损耗补新；洗消用品，餐具推车维护、维修；洗消间设备设施日常维修、维护、更换；餐具收集桶更换；装碗箱破损添补等服务内容。确保餐具干净、卫生、安全，并定期送检且符合检测标准。承担工作人员每年意外伤害保险（个人保费赔偿金额不得低于80.00万元）。</w:t>
      </w:r>
    </w:p>
    <w:p>
      <w:pPr>
        <w:spacing w:line="460" w:lineRule="exact"/>
        <w:rPr>
          <w:rFonts w:hint="eastAsia" w:ascii="Times New Roman" w:hAnsi="Times New Roman" w:eastAsia="宋体" w:cs="Times New Roman"/>
          <w:b/>
          <w:color w:val="auto"/>
          <w:sz w:val="24"/>
          <w:highlight w:val="none"/>
        </w:rPr>
      </w:pPr>
      <w:r>
        <w:rPr>
          <w:rFonts w:hint="eastAsia" w:ascii="Times New Roman" w:hAnsi="Times New Roman" w:eastAsia="宋体" w:cs="Times New Roman"/>
          <w:b/>
          <w:color w:val="auto"/>
          <w:sz w:val="24"/>
          <w:highlight w:val="none"/>
        </w:rPr>
        <w:t>二、合同金额</w:t>
      </w:r>
    </w:p>
    <w:p>
      <w:pPr>
        <w:spacing w:line="460" w:lineRule="exact"/>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lang w:val="en-US" w:eastAsia="zh-CN"/>
        </w:rPr>
        <w:t>本合同费用为最终成交价，即：           （大写：          ）。</w:t>
      </w:r>
    </w:p>
    <w:p>
      <w:pPr>
        <w:spacing w:line="460" w:lineRule="exact"/>
        <w:rPr>
          <w:rFonts w:ascii="Times New Roman" w:hAnsi="Times New Roman" w:eastAsia="宋体" w:cs="Times New Roman"/>
          <w:color w:val="auto"/>
          <w:sz w:val="24"/>
          <w:highlight w:val="none"/>
        </w:rPr>
      </w:pPr>
      <w:r>
        <w:rPr>
          <w:rFonts w:hint="eastAsia" w:ascii="Times New Roman" w:hAnsi="Times New Roman" w:eastAsia="宋体" w:cs="Times New Roman"/>
          <w:b/>
          <w:color w:val="auto"/>
          <w:sz w:val="24"/>
          <w:highlight w:val="none"/>
        </w:rPr>
        <w:t>三、</w:t>
      </w:r>
      <w:r>
        <w:rPr>
          <w:rFonts w:ascii="Times New Roman" w:hAnsi="Times New Roman" w:eastAsia="宋体" w:cs="Times New Roman"/>
          <w:b/>
          <w:color w:val="auto"/>
          <w:sz w:val="24"/>
          <w:highlight w:val="none"/>
        </w:rPr>
        <w:t>服务期限：</w:t>
      </w:r>
      <w:r>
        <w:rPr>
          <w:rFonts w:ascii="Times New Roman" w:hAnsi="Times New Roman" w:eastAsia="宋体" w:cs="Times New Roman"/>
          <w:color w:val="auto"/>
          <w:sz w:val="24"/>
          <w:highlight w:val="none"/>
        </w:rPr>
        <w:t>3年，合同一年一签。</w:t>
      </w:r>
    </w:p>
    <w:p>
      <w:pPr>
        <w:spacing w:beforeLines="30" w:line="500" w:lineRule="exact"/>
        <w:rPr>
          <w:rFonts w:ascii="Times New Roman" w:hAnsi="Times New Roman" w:eastAsia="宋体" w:cs="Times New Roman"/>
          <w:b/>
          <w:color w:val="auto"/>
          <w:sz w:val="24"/>
          <w:highlight w:val="none"/>
        </w:rPr>
      </w:pPr>
      <w:r>
        <w:rPr>
          <w:rFonts w:hint="eastAsia" w:ascii="Times New Roman" w:hAnsi="Times New Roman" w:eastAsia="宋体" w:cs="Times New Roman"/>
          <w:b/>
          <w:color w:val="auto"/>
          <w:sz w:val="24"/>
          <w:highlight w:val="none"/>
        </w:rPr>
        <w:t>四</w:t>
      </w:r>
      <w:r>
        <w:rPr>
          <w:rFonts w:ascii="Times New Roman" w:hAnsi="Times New Roman" w:eastAsia="宋体" w:cs="Times New Roman"/>
          <w:b/>
          <w:color w:val="auto"/>
          <w:sz w:val="24"/>
          <w:highlight w:val="none"/>
        </w:rPr>
        <w:t>、费用及支付办法</w:t>
      </w:r>
    </w:p>
    <w:p>
      <w:pPr>
        <w:spacing w:beforeLines="30" w:line="500" w:lineRule="exact"/>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委托方</w:t>
      </w:r>
      <w:r>
        <w:rPr>
          <w:rFonts w:hint="eastAsia" w:ascii="Times New Roman" w:hAnsi="Times New Roman" w:eastAsia="宋体" w:cs="Times New Roman"/>
          <w:color w:val="auto"/>
          <w:sz w:val="24"/>
          <w:highlight w:val="none"/>
        </w:rPr>
        <w:t>（甲方）每月</w:t>
      </w:r>
      <w:r>
        <w:rPr>
          <w:rFonts w:ascii="Times New Roman" w:hAnsi="Times New Roman" w:eastAsia="宋体" w:cs="Times New Roman"/>
          <w:color w:val="auto"/>
          <w:sz w:val="24"/>
          <w:highlight w:val="none"/>
        </w:rPr>
        <w:t>向服务方付款</w:t>
      </w:r>
      <w:r>
        <w:rPr>
          <w:rFonts w:hint="eastAsia" w:ascii="Times New Roman" w:hAnsi="Times New Roman" w:eastAsia="宋体" w:cs="Times New Roman"/>
          <w:color w:val="auto"/>
          <w:sz w:val="24"/>
          <w:highlight w:val="none"/>
        </w:rPr>
        <w:t>一次，并计入经营成本，</w:t>
      </w:r>
      <w:r>
        <w:rPr>
          <w:rFonts w:hint="eastAsia" w:ascii="Times New Roman" w:hAnsi="Times New Roman" w:eastAsia="宋体" w:cs="Times New Roman"/>
          <w:color w:val="auto"/>
          <w:sz w:val="24"/>
          <w:highlight w:val="none"/>
        </w:rPr>
        <w:t>付款时</w:t>
      </w:r>
      <w:r>
        <w:rPr>
          <w:rFonts w:ascii="Times New Roman" w:hAnsi="Times New Roman" w:eastAsia="宋体" w:cs="Times New Roman"/>
          <w:color w:val="auto"/>
          <w:sz w:val="24"/>
          <w:highlight w:val="none"/>
        </w:rPr>
        <w:t>，服务方应向委托方开具合法等额发票</w:t>
      </w:r>
      <w:r>
        <w:rPr>
          <w:rFonts w:hint="eastAsia" w:ascii="Times New Roman" w:hAnsi="Times New Roman" w:eastAsia="宋体" w:cs="Times New Roman"/>
          <w:color w:val="auto"/>
          <w:sz w:val="24"/>
          <w:highlight w:val="none"/>
        </w:rPr>
        <w:t>（如需）</w:t>
      </w:r>
      <w:r>
        <w:rPr>
          <w:rFonts w:ascii="Times New Roman" w:hAnsi="Times New Roman" w:eastAsia="宋体" w:cs="Times New Roman"/>
          <w:color w:val="auto"/>
          <w:sz w:val="24"/>
          <w:highlight w:val="none"/>
        </w:rPr>
        <w:t>。上述款项在收到乙方的付款申请和发票后</w:t>
      </w:r>
      <w:r>
        <w:rPr>
          <w:rFonts w:ascii="Times New Roman" w:hAnsi="Times New Roman" w:eastAsia="宋体" w:cs="Times New Roman"/>
          <w:color w:val="auto"/>
          <w:sz w:val="24"/>
          <w:highlight w:val="none"/>
          <w:u w:val="single"/>
        </w:rPr>
        <w:t xml:space="preserve">       </w:t>
      </w:r>
      <w:r>
        <w:rPr>
          <w:rFonts w:ascii="Times New Roman" w:hAnsi="Times New Roman" w:eastAsia="宋体" w:cs="Times New Roman"/>
          <w:color w:val="auto"/>
          <w:sz w:val="24"/>
          <w:highlight w:val="none"/>
        </w:rPr>
        <w:t>个工作日内支付。</w:t>
      </w:r>
    </w:p>
    <w:p>
      <w:pPr>
        <w:spacing w:beforeLines="30" w:line="500" w:lineRule="exact"/>
        <w:rPr>
          <w:rFonts w:hint="eastAsia" w:ascii="Times New Roman" w:hAnsi="Times New Roman" w:eastAsia="宋体" w:cs="Times New Roman"/>
          <w:b/>
          <w:color w:val="auto"/>
          <w:sz w:val="24"/>
          <w:highlight w:val="none"/>
        </w:rPr>
      </w:pPr>
      <w:r>
        <w:rPr>
          <w:rFonts w:hint="eastAsia" w:ascii="Times New Roman" w:hAnsi="Times New Roman" w:eastAsia="宋体" w:cs="Times New Roman"/>
          <w:b/>
          <w:color w:val="auto"/>
          <w:sz w:val="24"/>
          <w:highlight w:val="none"/>
        </w:rPr>
        <w:t>五、</w:t>
      </w:r>
      <w:r>
        <w:rPr>
          <w:rFonts w:hint="eastAsia" w:ascii="Times New Roman" w:hAnsi="Times New Roman" w:eastAsia="宋体" w:cs="Times New Roman"/>
          <w:color w:val="auto"/>
          <w:sz w:val="24"/>
          <w:highlight w:val="none"/>
        </w:rPr>
        <w:t>履约保证金：供应服务商应将</w:t>
      </w:r>
      <w:r>
        <w:rPr>
          <w:rFonts w:hint="eastAsia" w:ascii="Times New Roman" w:hAnsi="Times New Roman" w:eastAsia="宋体" w:cs="Times New Roman"/>
          <w:color w:val="auto"/>
          <w:sz w:val="24"/>
          <w:highlight w:val="none"/>
          <w:lang w:val="en-US" w:eastAsia="zh-CN"/>
        </w:rPr>
        <w:t>成交</w:t>
      </w:r>
      <w:r>
        <w:rPr>
          <w:rFonts w:hint="eastAsia" w:ascii="Times New Roman" w:hAnsi="Times New Roman" w:eastAsia="宋体" w:cs="Times New Roman"/>
          <w:color w:val="auto"/>
          <w:sz w:val="24"/>
          <w:highlight w:val="none"/>
        </w:rPr>
        <w:t>价</w:t>
      </w:r>
      <w:r>
        <w:rPr>
          <w:rFonts w:hint="eastAsia" w:ascii="Times New Roman" w:hAnsi="Times New Roman" w:eastAsia="宋体" w:cs="Times New Roman"/>
          <w:color w:val="auto"/>
          <w:sz w:val="24"/>
          <w:highlight w:val="none"/>
        </w:rPr>
        <w:t>总金额</w:t>
      </w:r>
      <w:r>
        <w:rPr>
          <w:rFonts w:hint="eastAsia" w:ascii="Times New Roman" w:hAnsi="Times New Roman" w:eastAsia="宋体" w:cs="Times New Roman"/>
          <w:color w:val="auto"/>
          <w:sz w:val="24"/>
          <w:highlight w:val="none"/>
          <w:u w:val="single"/>
        </w:rPr>
        <w:t xml:space="preserve"> 3% </w:t>
      </w:r>
      <w:r>
        <w:rPr>
          <w:rFonts w:hint="eastAsia" w:ascii="Times New Roman" w:hAnsi="Times New Roman" w:eastAsia="宋体" w:cs="Times New Roman"/>
          <w:color w:val="auto"/>
          <w:sz w:val="24"/>
          <w:highlight w:val="none"/>
        </w:rPr>
        <w:t>（￥</w:t>
      </w:r>
      <w:r>
        <w:rPr>
          <w:rFonts w:hint="eastAsia" w:ascii="Times New Roman" w:hAnsi="Times New Roman" w:eastAsia="宋体" w:cs="Times New Roman"/>
          <w:color w:val="auto"/>
          <w:sz w:val="24"/>
          <w:highlight w:val="none"/>
          <w:u w:val="single"/>
        </w:rPr>
        <w:t xml:space="preserve">        </w:t>
      </w:r>
      <w:r>
        <w:rPr>
          <w:rFonts w:hint="eastAsia" w:ascii="Times New Roman" w:hAnsi="Times New Roman" w:eastAsia="宋体" w:cs="Times New Roman"/>
          <w:color w:val="auto"/>
          <w:sz w:val="24"/>
          <w:highlight w:val="none"/>
        </w:rPr>
        <w:t>元（大写：</w:t>
      </w:r>
      <w:r>
        <w:rPr>
          <w:rFonts w:hint="eastAsia" w:ascii="Times New Roman" w:hAnsi="Times New Roman" w:eastAsia="宋体" w:cs="Times New Roman"/>
          <w:color w:val="auto"/>
          <w:sz w:val="24"/>
          <w:highlight w:val="none"/>
          <w:u w:val="single"/>
        </w:rPr>
        <w:t xml:space="preserve">              </w:t>
      </w:r>
      <w:r>
        <w:rPr>
          <w:rFonts w:hint="eastAsia" w:ascii="Times New Roman" w:hAnsi="Times New Roman" w:eastAsia="宋体" w:cs="Times New Roman"/>
          <w:color w:val="auto"/>
          <w:sz w:val="24"/>
          <w:highlight w:val="none"/>
        </w:rPr>
        <w:t>）。）的履约保证金以转账的方式在合同签订前缴纳至甲方指定账户，并在合同履约结束后，由甲方一次性无息退还。</w:t>
      </w:r>
    </w:p>
    <w:p>
      <w:pPr>
        <w:spacing w:beforeLines="30" w:line="500" w:lineRule="exact"/>
        <w:rPr>
          <w:rFonts w:ascii="Times New Roman" w:hAnsi="Times New Roman" w:eastAsia="宋体" w:cs="Times New Roman"/>
          <w:b/>
          <w:color w:val="auto"/>
          <w:sz w:val="24"/>
          <w:highlight w:val="none"/>
        </w:rPr>
      </w:pPr>
      <w:r>
        <w:rPr>
          <w:rFonts w:hint="eastAsia" w:ascii="Times New Roman" w:hAnsi="Times New Roman" w:eastAsia="宋体" w:cs="Times New Roman"/>
          <w:b/>
          <w:color w:val="auto"/>
          <w:sz w:val="24"/>
          <w:highlight w:val="none"/>
        </w:rPr>
        <w:t>六</w:t>
      </w:r>
      <w:r>
        <w:rPr>
          <w:rFonts w:ascii="Times New Roman" w:hAnsi="Times New Roman" w:eastAsia="宋体" w:cs="Times New Roman"/>
          <w:b/>
          <w:color w:val="auto"/>
          <w:sz w:val="24"/>
          <w:highlight w:val="none"/>
        </w:rPr>
        <w:t>、</w:t>
      </w:r>
      <w:r>
        <w:rPr>
          <w:rFonts w:hint="eastAsia" w:ascii="Times New Roman" w:hAnsi="Times New Roman" w:eastAsia="宋体" w:cs="Times New Roman"/>
          <w:b/>
          <w:color w:val="auto"/>
          <w:sz w:val="24"/>
          <w:highlight w:val="none"/>
        </w:rPr>
        <w:t>双</w:t>
      </w:r>
      <w:r>
        <w:rPr>
          <w:rFonts w:ascii="Times New Roman" w:hAnsi="Times New Roman" w:eastAsia="宋体" w:cs="Times New Roman"/>
          <w:b/>
          <w:color w:val="auto"/>
          <w:sz w:val="24"/>
          <w:highlight w:val="none"/>
        </w:rPr>
        <w:t>方</w:t>
      </w:r>
      <w:r>
        <w:rPr>
          <w:rFonts w:hint="eastAsia" w:ascii="Times New Roman" w:hAnsi="Times New Roman" w:eastAsia="宋体" w:cs="Times New Roman"/>
          <w:b/>
          <w:color w:val="auto"/>
          <w:sz w:val="24"/>
          <w:highlight w:val="none"/>
        </w:rPr>
        <w:t>权利和义务</w:t>
      </w:r>
    </w:p>
    <w:p>
      <w:pPr>
        <w:spacing w:beforeLines="30" w:line="500" w:lineRule="exact"/>
        <w:ind w:firstLine="480" w:firstLineChars="200"/>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（一）甲方权利和义务</w:t>
      </w:r>
    </w:p>
    <w:p>
      <w:pPr>
        <w:spacing w:beforeLines="30" w:line="500" w:lineRule="exact"/>
        <w:ind w:firstLine="480" w:firstLineChars="200"/>
        <w:rPr>
          <w:rFonts w:hint="eastAsia"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w:t>
      </w:r>
      <w:r>
        <w:rPr>
          <w:rFonts w:hint="eastAsia" w:ascii="Times New Roman" w:hAnsi="Times New Roman" w:eastAsia="宋体" w:cs="Times New Roman"/>
          <w:color w:val="auto"/>
          <w:sz w:val="24"/>
          <w:highlight w:val="none"/>
        </w:rPr>
        <w:t>要求乙方按需求提供合格、定量的餐具；</w:t>
      </w:r>
    </w:p>
    <w:p>
      <w:pPr>
        <w:spacing w:beforeLines="30" w:line="500" w:lineRule="exact"/>
        <w:ind w:firstLine="480" w:firstLineChars="200"/>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2、</w:t>
      </w:r>
      <w:r>
        <w:rPr>
          <w:rFonts w:ascii="Times New Roman" w:hAnsi="Times New Roman" w:eastAsia="宋体" w:cs="Times New Roman"/>
          <w:color w:val="auto"/>
          <w:sz w:val="24"/>
          <w:highlight w:val="none"/>
        </w:rPr>
        <w:t>按时</w:t>
      </w:r>
      <w:r>
        <w:rPr>
          <w:rFonts w:hint="eastAsia" w:ascii="Times New Roman" w:hAnsi="Times New Roman" w:eastAsia="宋体" w:cs="Times New Roman"/>
          <w:color w:val="auto"/>
          <w:sz w:val="24"/>
          <w:highlight w:val="none"/>
        </w:rPr>
        <w:t>足额</w:t>
      </w:r>
      <w:r>
        <w:rPr>
          <w:rFonts w:ascii="Times New Roman" w:hAnsi="Times New Roman" w:eastAsia="宋体" w:cs="Times New Roman"/>
          <w:color w:val="auto"/>
          <w:sz w:val="24"/>
          <w:highlight w:val="none"/>
        </w:rPr>
        <w:t>支付</w:t>
      </w:r>
      <w:r>
        <w:rPr>
          <w:rFonts w:hint="eastAsia" w:ascii="Times New Roman" w:hAnsi="Times New Roman" w:eastAsia="宋体" w:cs="Times New Roman"/>
          <w:color w:val="auto"/>
          <w:sz w:val="24"/>
          <w:highlight w:val="none"/>
        </w:rPr>
        <w:t>餐具清洗费</w:t>
      </w:r>
      <w:r>
        <w:rPr>
          <w:rFonts w:ascii="Times New Roman" w:hAnsi="Times New Roman" w:eastAsia="宋体" w:cs="Times New Roman"/>
          <w:color w:val="auto"/>
          <w:sz w:val="24"/>
          <w:highlight w:val="none"/>
        </w:rPr>
        <w:t>。</w:t>
      </w:r>
    </w:p>
    <w:p>
      <w:pPr>
        <w:spacing w:beforeLines="30" w:line="500" w:lineRule="exact"/>
        <w:ind w:firstLine="480" w:firstLineChars="200"/>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3、</w:t>
      </w:r>
      <w:r>
        <w:rPr>
          <w:rFonts w:ascii="Times New Roman" w:hAnsi="Times New Roman" w:eastAsia="宋体" w:cs="Times New Roman"/>
          <w:color w:val="auto"/>
          <w:sz w:val="24"/>
          <w:highlight w:val="none"/>
        </w:rPr>
        <w:t>………</w:t>
      </w:r>
      <w:r>
        <w:rPr>
          <w:rFonts w:hint="eastAsia" w:ascii="Times New Roman" w:hAnsi="Times New Roman" w:eastAsia="宋体" w:cs="Times New Roman"/>
          <w:color w:val="auto"/>
          <w:sz w:val="24"/>
          <w:highlight w:val="none"/>
        </w:rPr>
        <w:t>..</w:t>
      </w:r>
    </w:p>
    <w:p>
      <w:pPr>
        <w:spacing w:beforeLines="30" w:line="500" w:lineRule="exact"/>
        <w:ind w:firstLine="480" w:firstLineChars="200"/>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（二）乙方权利和义务</w:t>
      </w:r>
    </w:p>
    <w:p>
      <w:pPr>
        <w:spacing w:beforeLines="30" w:line="500" w:lineRule="exact"/>
        <w:ind w:firstLine="480" w:firstLineChars="200"/>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1、按时足额向甲方收取餐具清洗费用；</w:t>
      </w:r>
    </w:p>
    <w:p>
      <w:pPr>
        <w:spacing w:beforeLines="30" w:line="500" w:lineRule="exact"/>
        <w:ind w:firstLine="480" w:firstLineChars="200"/>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2、向乙方按时提供合格足量的餐具；</w:t>
      </w:r>
    </w:p>
    <w:p>
      <w:pPr>
        <w:spacing w:beforeLines="30" w:line="500" w:lineRule="exact"/>
        <w:ind w:firstLine="480" w:firstLineChars="200"/>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3、完成采购需求的其他服务内容；</w:t>
      </w:r>
    </w:p>
    <w:p>
      <w:pPr>
        <w:spacing w:beforeLines="30" w:line="500" w:lineRule="exact"/>
        <w:ind w:firstLine="480" w:firstLineChars="200"/>
        <w:rPr>
          <w:rFonts w:hint="eastAsia"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4、承担服务期间一切生产、人员等全部安全责任，如发生安全事故所造成的一切责任和损失由乙方全部承担。</w:t>
      </w:r>
    </w:p>
    <w:p>
      <w:pPr>
        <w:spacing w:beforeLines="30" w:line="500" w:lineRule="exact"/>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5、</w:t>
      </w:r>
      <w:r>
        <w:rPr>
          <w:rFonts w:ascii="Times New Roman" w:hAnsi="Times New Roman" w:eastAsia="宋体" w:cs="Times New Roman"/>
          <w:color w:val="auto"/>
          <w:sz w:val="24"/>
          <w:highlight w:val="none"/>
        </w:rPr>
        <w:t>………</w:t>
      </w:r>
    </w:p>
    <w:p>
      <w:pPr>
        <w:spacing w:beforeLines="30" w:line="500" w:lineRule="exact"/>
        <w:rPr>
          <w:rFonts w:ascii="Times New Roman" w:hAnsi="Times New Roman" w:eastAsia="宋体" w:cs="Times New Roman"/>
          <w:b/>
          <w:color w:val="auto"/>
          <w:sz w:val="24"/>
          <w:highlight w:val="none"/>
        </w:rPr>
      </w:pPr>
      <w:r>
        <w:rPr>
          <w:rFonts w:hint="eastAsia" w:ascii="Times New Roman" w:hAnsi="Times New Roman" w:eastAsia="宋体" w:cs="Times New Roman"/>
          <w:color w:val="auto"/>
          <w:sz w:val="24"/>
          <w:highlight w:val="none"/>
        </w:rPr>
        <w:t>六</w:t>
      </w:r>
      <w:r>
        <w:rPr>
          <w:rFonts w:ascii="Times New Roman" w:hAnsi="Times New Roman" w:eastAsia="宋体" w:cs="Times New Roman"/>
          <w:color w:val="auto"/>
          <w:sz w:val="24"/>
          <w:highlight w:val="none"/>
        </w:rPr>
        <w:t>、项</w:t>
      </w:r>
      <w:r>
        <w:rPr>
          <w:rFonts w:ascii="Times New Roman" w:hAnsi="Times New Roman" w:eastAsia="宋体" w:cs="Times New Roman"/>
          <w:b/>
          <w:color w:val="auto"/>
          <w:sz w:val="24"/>
          <w:highlight w:val="none"/>
        </w:rPr>
        <w:t>目地点</w:t>
      </w:r>
    </w:p>
    <w:p>
      <w:pPr>
        <w:spacing w:beforeLines="30" w:line="500" w:lineRule="exact"/>
        <w:ind w:firstLine="538"/>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地点：</w:t>
      </w:r>
      <w:r>
        <w:rPr>
          <w:rFonts w:ascii="Times New Roman" w:hAnsi="Times New Roman" w:eastAsia="宋体" w:cs="Times New Roman"/>
          <w:color w:val="auto"/>
          <w:sz w:val="24"/>
          <w:highlight w:val="none"/>
          <w:u w:val="single"/>
        </w:rPr>
        <w:t xml:space="preserve">               </w:t>
      </w:r>
    </w:p>
    <w:p>
      <w:pPr>
        <w:spacing w:beforeLines="30" w:line="500" w:lineRule="exact"/>
        <w:rPr>
          <w:rFonts w:ascii="Times New Roman" w:hAnsi="Times New Roman" w:eastAsia="宋体" w:cs="Times New Roman"/>
          <w:b/>
          <w:color w:val="auto"/>
          <w:sz w:val="24"/>
          <w:highlight w:val="none"/>
        </w:rPr>
      </w:pPr>
      <w:r>
        <w:rPr>
          <w:rFonts w:hint="eastAsia" w:ascii="Times New Roman" w:hAnsi="Times New Roman" w:eastAsia="宋体" w:cs="Times New Roman"/>
          <w:b/>
          <w:color w:val="auto"/>
          <w:sz w:val="24"/>
          <w:highlight w:val="none"/>
        </w:rPr>
        <w:t>七</w:t>
      </w:r>
      <w:r>
        <w:rPr>
          <w:rFonts w:ascii="Times New Roman" w:hAnsi="Times New Roman" w:eastAsia="宋体" w:cs="Times New Roman"/>
          <w:b/>
          <w:color w:val="auto"/>
          <w:sz w:val="24"/>
          <w:highlight w:val="none"/>
        </w:rPr>
        <w:t>、资料的保密</w:t>
      </w:r>
    </w:p>
    <w:p>
      <w:pPr>
        <w:spacing w:beforeLines="30" w:line="500" w:lineRule="exact"/>
        <w:ind w:firstLine="538"/>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乙方按本合同要求完成的申报结果归双方共有，未经甲乙</w:t>
      </w:r>
      <w:r>
        <w:rPr>
          <w:rFonts w:hint="eastAsia" w:ascii="Times New Roman" w:hAnsi="Times New Roman" w:eastAsia="宋体" w:cs="Times New Roman"/>
          <w:color w:val="auto"/>
          <w:sz w:val="24"/>
          <w:highlight w:val="none"/>
        </w:rPr>
        <w:t>丙</w:t>
      </w:r>
      <w:r>
        <w:rPr>
          <w:rFonts w:ascii="Times New Roman" w:hAnsi="Times New Roman" w:eastAsia="宋体" w:cs="Times New Roman"/>
          <w:color w:val="auto"/>
          <w:sz w:val="24"/>
          <w:highlight w:val="none"/>
        </w:rPr>
        <w:t>双方同意，不得提供第三方使用。</w:t>
      </w:r>
    </w:p>
    <w:p>
      <w:pPr>
        <w:spacing w:beforeLines="30" w:line="500" w:lineRule="exact"/>
        <w:rPr>
          <w:rFonts w:ascii="Times New Roman" w:hAnsi="Times New Roman" w:eastAsia="宋体" w:cs="Times New Roman"/>
          <w:b/>
          <w:color w:val="auto"/>
          <w:sz w:val="24"/>
          <w:highlight w:val="none"/>
        </w:rPr>
      </w:pPr>
      <w:r>
        <w:rPr>
          <w:rFonts w:hint="eastAsia" w:ascii="Times New Roman" w:hAnsi="Times New Roman" w:eastAsia="宋体" w:cs="Times New Roman"/>
          <w:b/>
          <w:color w:val="auto"/>
          <w:sz w:val="24"/>
          <w:highlight w:val="none"/>
        </w:rPr>
        <w:t>八</w:t>
      </w:r>
      <w:r>
        <w:rPr>
          <w:rFonts w:ascii="Times New Roman" w:hAnsi="Times New Roman" w:eastAsia="宋体" w:cs="Times New Roman"/>
          <w:b/>
          <w:color w:val="auto"/>
          <w:sz w:val="24"/>
          <w:highlight w:val="none"/>
        </w:rPr>
        <w:t>、违约责任</w:t>
      </w:r>
    </w:p>
    <w:p>
      <w:pPr>
        <w:spacing w:beforeLines="30" w:line="500" w:lineRule="exact"/>
        <w:rPr>
          <w:rFonts w:ascii="Times New Roman" w:hAnsi="Times New Roman" w:eastAsia="宋体" w:cs="Times New Roman"/>
          <w:b/>
          <w:color w:val="auto"/>
          <w:sz w:val="24"/>
          <w:highlight w:val="none"/>
        </w:rPr>
      </w:pPr>
      <w:r>
        <w:rPr>
          <w:rFonts w:ascii="Times New Roman" w:hAnsi="Times New Roman" w:eastAsia="宋体" w:cs="Times New Roman"/>
          <w:b/>
          <w:color w:val="auto"/>
          <w:sz w:val="24"/>
          <w:highlight w:val="none"/>
        </w:rPr>
        <w:t xml:space="preserve">   </w:t>
      </w:r>
      <w:r>
        <w:rPr>
          <w:rFonts w:ascii="Times New Roman" w:hAnsi="Times New Roman" w:eastAsia="宋体" w:cs="Times New Roman"/>
          <w:color w:val="auto"/>
          <w:sz w:val="24"/>
          <w:highlight w:val="none"/>
        </w:rPr>
        <w:t xml:space="preserve"> 乙方未按合同约定日期完成申报的，按合同金额的      %支付违约金。</w:t>
      </w:r>
    </w:p>
    <w:p>
      <w:pPr>
        <w:spacing w:beforeLines="30" w:line="500" w:lineRule="exact"/>
        <w:rPr>
          <w:rFonts w:ascii="Times New Roman" w:hAnsi="Times New Roman" w:eastAsia="宋体" w:cs="Times New Roman"/>
          <w:b/>
          <w:color w:val="auto"/>
          <w:sz w:val="24"/>
          <w:highlight w:val="none"/>
        </w:rPr>
      </w:pPr>
      <w:r>
        <w:rPr>
          <w:rFonts w:hint="eastAsia" w:ascii="Times New Roman" w:hAnsi="Times New Roman" w:eastAsia="宋体" w:cs="Times New Roman"/>
          <w:b/>
          <w:color w:val="auto"/>
          <w:sz w:val="24"/>
          <w:highlight w:val="none"/>
        </w:rPr>
        <w:t>九</w:t>
      </w:r>
      <w:r>
        <w:rPr>
          <w:rFonts w:ascii="Times New Roman" w:hAnsi="Times New Roman" w:eastAsia="宋体" w:cs="Times New Roman"/>
          <w:b/>
          <w:color w:val="auto"/>
          <w:sz w:val="24"/>
          <w:highlight w:val="none"/>
        </w:rPr>
        <w:t>、争议解决办法</w:t>
      </w:r>
    </w:p>
    <w:p>
      <w:pPr>
        <w:spacing w:beforeLines="30" w:after="120" w:line="500" w:lineRule="exact"/>
        <w:ind w:firstLine="48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在合同的履行过程中发生争议，双方应友好协商解决。协商不成时，可向有关合同管理部门申请调解仲裁，也可直接向相关人民法院提起诉讼。</w:t>
      </w:r>
    </w:p>
    <w:p>
      <w:pPr>
        <w:spacing w:beforeLines="30" w:line="500" w:lineRule="exact"/>
        <w:rPr>
          <w:rFonts w:ascii="Times New Roman" w:hAnsi="Times New Roman" w:eastAsia="宋体" w:cs="Times New Roman"/>
          <w:b/>
          <w:color w:val="auto"/>
          <w:sz w:val="24"/>
          <w:highlight w:val="none"/>
        </w:rPr>
      </w:pPr>
      <w:r>
        <w:rPr>
          <w:rFonts w:hint="eastAsia" w:ascii="Times New Roman" w:hAnsi="Times New Roman" w:eastAsia="宋体" w:cs="Times New Roman"/>
          <w:b/>
          <w:color w:val="auto"/>
          <w:sz w:val="24"/>
          <w:highlight w:val="none"/>
        </w:rPr>
        <w:t>十</w:t>
      </w:r>
      <w:r>
        <w:rPr>
          <w:rFonts w:ascii="Times New Roman" w:hAnsi="Times New Roman" w:eastAsia="宋体" w:cs="Times New Roman"/>
          <w:b/>
          <w:color w:val="auto"/>
          <w:sz w:val="24"/>
          <w:highlight w:val="none"/>
        </w:rPr>
        <w:t>、合同生效及其他</w:t>
      </w:r>
    </w:p>
    <w:p>
      <w:pPr>
        <w:spacing w:beforeLines="30" w:line="500" w:lineRule="exact"/>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1、本合同经双方代表签字、单位盖章后即生效，双方履行完合同规定的义务后自然失效。</w:t>
      </w:r>
    </w:p>
    <w:p>
      <w:pPr>
        <w:spacing w:beforeLines="30" w:line="500" w:lineRule="exact"/>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2、本合同正式文本（复印件无效）壹式陆份，甲乙双方各存叁（贰）份，具有同等法律效力。</w:t>
      </w:r>
    </w:p>
    <w:p>
      <w:pPr>
        <w:spacing w:beforeLines="30" w:line="500" w:lineRule="exact"/>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3、未尽事宜由甲乙双方协商解决。</w:t>
      </w:r>
    </w:p>
    <w:p>
      <w:pPr>
        <w:spacing w:beforeLines="30" w:line="500" w:lineRule="exact"/>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4、签定本合同无中介方。</w:t>
      </w:r>
    </w:p>
    <w:p>
      <w:pPr>
        <w:spacing w:beforeLines="30" w:line="500" w:lineRule="exact"/>
        <w:ind w:firstLine="480" w:firstLineChars="200"/>
        <w:rPr>
          <w:rFonts w:ascii="Times New Roman" w:hAnsi="Times New Roman" w:eastAsia="宋体" w:cs="Times New Roman"/>
          <w:color w:val="auto"/>
          <w:sz w:val="24"/>
          <w:highlight w:val="none"/>
          <w:u w:val="single"/>
        </w:rPr>
      </w:pPr>
      <w:r>
        <w:rPr>
          <w:rFonts w:ascii="Times New Roman" w:hAnsi="Times New Roman" w:eastAsia="宋体" w:cs="Times New Roman"/>
          <w:color w:val="auto"/>
          <w:sz w:val="24"/>
          <w:highlight w:val="none"/>
        </w:rPr>
        <w:t>5、甲乙双方认为需要补充的其他内容：</w:t>
      </w:r>
      <w:r>
        <w:rPr>
          <w:rFonts w:ascii="Times New Roman" w:hAnsi="Times New Roman" w:eastAsia="宋体" w:cs="Times New Roman"/>
          <w:color w:val="auto"/>
          <w:sz w:val="24"/>
          <w:highlight w:val="none"/>
          <w:u w:val="single"/>
        </w:rPr>
        <w:t xml:space="preserve">                                       </w:t>
      </w:r>
    </w:p>
    <w:p>
      <w:pPr>
        <w:spacing w:beforeLines="30" w:line="500" w:lineRule="exact"/>
        <w:ind w:firstLine="480" w:firstLineChars="200"/>
        <w:rPr>
          <w:rFonts w:ascii="Times New Roman" w:hAnsi="Times New Roman" w:eastAsia="宋体" w:cs="Times New Roman"/>
          <w:color w:val="auto"/>
          <w:sz w:val="24"/>
          <w:highlight w:val="none"/>
          <w:u w:val="single"/>
        </w:rPr>
      </w:pPr>
      <w:r>
        <w:rPr>
          <w:rFonts w:ascii="Times New Roman" w:hAnsi="Times New Roman" w:eastAsia="宋体" w:cs="Times New Roman"/>
          <w:color w:val="auto"/>
          <w:sz w:val="24"/>
          <w:highlight w:val="none"/>
          <w:u w:val="single"/>
        </w:rPr>
        <w:t xml:space="preserve">                                                                          </w:t>
      </w:r>
    </w:p>
    <w:p>
      <w:pPr>
        <w:spacing w:beforeLines="30" w:line="500" w:lineRule="exact"/>
        <w:ind w:firstLine="480" w:firstLineChars="200"/>
        <w:rPr>
          <w:rFonts w:ascii="Times New Roman" w:hAnsi="Times New Roman" w:eastAsia="宋体" w:cs="Times New Roman"/>
          <w:color w:val="auto"/>
          <w:sz w:val="24"/>
          <w:highlight w:val="none"/>
          <w:u w:val="single"/>
        </w:rPr>
      </w:pPr>
      <w:r>
        <w:rPr>
          <w:rFonts w:ascii="Times New Roman" w:hAnsi="Times New Roman" w:eastAsia="宋体" w:cs="Times New Roman"/>
          <w:color w:val="auto"/>
          <w:sz w:val="24"/>
          <w:highlight w:val="none"/>
          <w:u w:val="single"/>
        </w:rPr>
        <w:t xml:space="preserve">                                                                          </w:t>
      </w:r>
    </w:p>
    <w:p>
      <w:pPr>
        <w:spacing w:beforeLines="30" w:line="500" w:lineRule="exact"/>
        <w:ind w:firstLine="480" w:firstLineChars="200"/>
        <w:rPr>
          <w:rFonts w:ascii="Times New Roman" w:hAnsi="Times New Roman" w:eastAsia="宋体" w:cs="Times New Roman"/>
          <w:color w:val="auto"/>
          <w:sz w:val="24"/>
          <w:highlight w:val="none"/>
          <w:u w:val="single"/>
        </w:rPr>
      </w:pPr>
      <w:r>
        <w:rPr>
          <w:rFonts w:ascii="Times New Roman" w:hAnsi="Times New Roman" w:eastAsia="宋体" w:cs="Times New Roman"/>
          <w:color w:val="auto"/>
          <w:sz w:val="24"/>
          <w:highlight w:val="none"/>
          <w:u w:val="single"/>
        </w:rPr>
        <w:t xml:space="preserve">                                                                          </w:t>
      </w:r>
    </w:p>
    <w:p>
      <w:pPr>
        <w:spacing w:beforeLines="30" w:line="500" w:lineRule="exact"/>
        <w:ind w:firstLine="480" w:firstLineChars="200"/>
        <w:rPr>
          <w:rFonts w:ascii="Times New Roman" w:hAnsi="Times New Roman" w:eastAsia="宋体" w:cs="Times New Roman"/>
          <w:color w:val="auto"/>
          <w:highlight w:val="none"/>
        </w:rPr>
      </w:pPr>
      <w:r>
        <w:rPr>
          <w:rFonts w:ascii="Times New Roman" w:hAnsi="Times New Roman" w:eastAsia="宋体" w:cs="Times New Roman"/>
          <w:color w:val="auto"/>
          <w:sz w:val="24"/>
          <w:highlight w:val="none"/>
          <w:u w:val="single"/>
        </w:rPr>
        <w:t xml:space="preserve">                                                                          </w:t>
      </w:r>
    </w:p>
    <w:p>
      <w:pPr>
        <w:autoSpaceDE w:val="0"/>
        <w:autoSpaceDN w:val="0"/>
        <w:adjustRightInd w:val="0"/>
        <w:rPr>
          <w:rFonts w:ascii="Times New Roman" w:hAnsi="Times New Roman" w:eastAsia="宋体" w:cs="Times New Roman"/>
          <w:color w:val="auto"/>
          <w:sz w:val="24"/>
          <w:highlight w:val="none"/>
        </w:rPr>
      </w:pPr>
    </w:p>
    <w:p>
      <w:pPr>
        <w:spacing w:beforeLines="30" w:line="500" w:lineRule="exact"/>
        <w:jc w:val="left"/>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甲方：                          乙方：</w:t>
      </w:r>
    </w:p>
    <w:p>
      <w:pPr>
        <w:spacing w:beforeLines="30" w:line="500" w:lineRule="exact"/>
        <w:jc w:val="left"/>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法定代表人（签章）：            法定代表人（签章）：</w:t>
      </w:r>
    </w:p>
    <w:p>
      <w:pPr>
        <w:spacing w:beforeLines="30" w:line="500" w:lineRule="exact"/>
        <w:jc w:val="left"/>
        <w:rPr>
          <w:rFonts w:ascii="Times New Roman" w:hAnsi="Times New Roman" w:eastAsia="宋体" w:cs="Times New Roman"/>
          <w:b/>
          <w:color w:val="auto"/>
          <w:sz w:val="24"/>
          <w:highlight w:val="none"/>
        </w:rPr>
      </w:pPr>
      <w:r>
        <w:rPr>
          <w:rFonts w:ascii="Times New Roman" w:hAnsi="Times New Roman" w:eastAsia="宋体" w:cs="Times New Roman"/>
          <w:color w:val="auto"/>
          <w:sz w:val="24"/>
          <w:highlight w:val="none"/>
        </w:rPr>
        <w:t>委托代理人（签章）：            委托代理人（签章）：</w:t>
      </w:r>
    </w:p>
    <w:p>
      <w:pPr>
        <w:spacing w:beforeLines="30" w:line="500" w:lineRule="exact"/>
        <w:jc w:val="left"/>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日期：                         日期：</w:t>
      </w:r>
    </w:p>
    <w:p>
      <w:pPr>
        <w:spacing w:beforeLines="30" w:line="500" w:lineRule="exact"/>
        <w:jc w:val="left"/>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开户行：                       开户行：</w:t>
      </w:r>
    </w:p>
    <w:p>
      <w:pPr>
        <w:spacing w:beforeLines="30" w:line="500" w:lineRule="exact"/>
        <w:jc w:val="left"/>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帐号：                         帐号：</w:t>
      </w:r>
    </w:p>
    <w:p>
      <w:pPr>
        <w:spacing w:beforeLines="30" w:line="500" w:lineRule="exact"/>
        <w:jc w:val="left"/>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联系人：                       联系人：</w:t>
      </w:r>
    </w:p>
    <w:p>
      <w:pPr>
        <w:adjustRightInd w:val="0"/>
        <w:snapToGrid w:val="0"/>
        <w:spacing w:beforeLines="50" w:line="360" w:lineRule="auto"/>
        <w:rPr>
          <w:rFonts w:ascii="宋体" w:hAnsi="宋体" w:eastAsia="宋体" w:cs="宋体"/>
          <w:color w:val="auto"/>
          <w:szCs w:val="21"/>
          <w:highlight w:val="none"/>
        </w:rPr>
      </w:pPr>
      <w:r>
        <w:rPr>
          <w:rFonts w:ascii="Times New Roman" w:hAnsi="Times New Roman" w:eastAsia="宋体" w:cs="Times New Roman"/>
          <w:color w:val="auto"/>
          <w:kern w:val="0"/>
          <w:sz w:val="24"/>
          <w:szCs w:val="20"/>
          <w:highlight w:val="none"/>
        </w:rPr>
        <w:t>联系电话：                     联系电话：</w:t>
      </w:r>
    </w:p>
    <w:p>
      <w:pPr>
        <w:pStyle w:val="9"/>
        <w:ind w:left="0" w:leftChars="0" w:right="1470"/>
        <w:rPr>
          <w:rFonts w:ascii="宋体" w:hAnsi="宋体" w:eastAsia="宋体" w:cs="宋体"/>
          <w:b/>
          <w:bCs/>
          <w:color w:val="auto"/>
          <w:kern w:val="44"/>
          <w:sz w:val="32"/>
          <w:szCs w:val="32"/>
          <w:highlight w:val="none"/>
        </w:rPr>
      </w:pPr>
    </w:p>
    <w:p>
      <w:pPr>
        <w:pStyle w:val="9"/>
        <w:ind w:left="0" w:leftChars="0" w:right="1470"/>
        <w:rPr>
          <w:rFonts w:ascii="宋体" w:hAnsi="宋体" w:eastAsia="宋体" w:cs="宋体"/>
          <w:b/>
          <w:bCs/>
          <w:color w:val="auto"/>
          <w:kern w:val="44"/>
          <w:sz w:val="32"/>
          <w:szCs w:val="32"/>
          <w:highlight w:val="none"/>
        </w:rPr>
        <w:sectPr>
          <w:pgSz w:w="11906" w:h="16838"/>
          <w:pgMar w:top="1418" w:right="1134" w:bottom="1134" w:left="1417" w:header="936" w:footer="720" w:gutter="0"/>
          <w:cols w:space="720" w:num="1"/>
          <w:docGrid w:linePitch="331" w:charSpace="0"/>
        </w:sectPr>
      </w:pPr>
    </w:p>
    <w:p>
      <w:pPr>
        <w:pStyle w:val="3"/>
        <w:jc w:val="center"/>
        <w:rPr>
          <w:rFonts w:ascii="宋体" w:hAnsi="宋体" w:cs="Times New Roman"/>
          <w:color w:val="auto"/>
          <w:szCs w:val="44"/>
          <w:highlight w:val="none"/>
        </w:rPr>
      </w:pPr>
      <w:bookmarkStart w:id="164" w:name="_Toc10886"/>
      <w:r>
        <w:rPr>
          <w:rFonts w:ascii="Times New Roman" w:hAnsi="Times New Roman" w:cs="Times New Roman"/>
          <w:color w:val="auto"/>
          <w:highlight w:val="none"/>
        </w:rPr>
        <w:t xml:space="preserve">第四章  </w:t>
      </w:r>
      <w:bookmarkEnd w:id="158"/>
      <w:bookmarkEnd w:id="159"/>
      <w:bookmarkEnd w:id="160"/>
      <w:r>
        <w:rPr>
          <w:rFonts w:ascii="Times New Roman" w:hAnsi="Times New Roman" w:cs="Times New Roman"/>
          <w:color w:val="auto"/>
          <w:highlight w:val="none"/>
        </w:rPr>
        <w:t>磋商响应文件格式</w:t>
      </w:r>
      <w:bookmarkEnd w:id="161"/>
      <w:bookmarkEnd w:id="164"/>
      <w:bookmarkStart w:id="165" w:name="_Toc30986_WPSOffice_Level3"/>
      <w:bookmarkStart w:id="166" w:name="_Toc17533_WPSOffice_Level2"/>
    </w:p>
    <w:p>
      <w:pPr>
        <w:jc w:val="center"/>
        <w:rPr>
          <w:rFonts w:ascii="宋体" w:hAnsi="宋体" w:cs="Times New Roman"/>
          <w:b/>
          <w:color w:val="auto"/>
          <w:sz w:val="44"/>
          <w:szCs w:val="44"/>
          <w:highlight w:val="none"/>
        </w:rPr>
      </w:pPr>
    </w:p>
    <w:p>
      <w:pPr>
        <w:spacing w:line="360" w:lineRule="auto"/>
        <w:jc w:val="center"/>
        <w:rPr>
          <w:rFonts w:ascii="宋体" w:hAnsi="宋体" w:cs="Times New Roman"/>
          <w:b/>
          <w:color w:val="auto"/>
          <w:sz w:val="44"/>
          <w:szCs w:val="44"/>
          <w:highlight w:val="none"/>
        </w:rPr>
      </w:pPr>
      <w:r>
        <w:rPr>
          <w:rFonts w:hint="eastAsia" w:ascii="宋体" w:hAnsi="宋体" w:cs="Times New Roman"/>
          <w:b/>
          <w:color w:val="auto"/>
          <w:sz w:val="44"/>
          <w:szCs w:val="44"/>
          <w:highlight w:val="none"/>
        </w:rPr>
        <w:t>楚雄医药高等专科学校食堂餐具洗消间服务</w:t>
      </w:r>
    </w:p>
    <w:p>
      <w:pPr>
        <w:spacing w:line="360" w:lineRule="auto"/>
        <w:jc w:val="center"/>
        <w:rPr>
          <w:rFonts w:ascii="宋体" w:hAnsi="宋体" w:eastAsia="宋体" w:cs="宋体"/>
          <w:color w:val="auto"/>
          <w:sz w:val="32"/>
          <w:szCs w:val="32"/>
          <w:highlight w:val="none"/>
        </w:rPr>
      </w:pPr>
      <w:r>
        <w:rPr>
          <w:rFonts w:hint="eastAsia" w:ascii="宋体" w:hAnsi="宋体" w:cs="Times New Roman"/>
          <w:b/>
          <w:color w:val="auto"/>
          <w:sz w:val="44"/>
          <w:szCs w:val="44"/>
          <w:highlight w:val="none"/>
        </w:rPr>
        <w:t>采购项目</w:t>
      </w:r>
    </w:p>
    <w:p>
      <w:pPr>
        <w:jc w:val="center"/>
        <w:rPr>
          <w:b/>
          <w:bCs/>
          <w:color w:val="auto"/>
          <w:sz w:val="36"/>
          <w:szCs w:val="36"/>
          <w:highlight w:val="none"/>
        </w:rPr>
      </w:pPr>
    </w:p>
    <w:p>
      <w:pPr>
        <w:jc w:val="center"/>
        <w:rPr>
          <w:b/>
          <w:bCs/>
          <w:color w:val="auto"/>
          <w:sz w:val="36"/>
          <w:szCs w:val="36"/>
          <w:highlight w:val="none"/>
        </w:rPr>
      </w:pPr>
    </w:p>
    <w:p>
      <w:pPr>
        <w:jc w:val="center"/>
        <w:rPr>
          <w:b/>
          <w:bCs/>
          <w:color w:val="auto"/>
          <w:sz w:val="36"/>
          <w:szCs w:val="36"/>
          <w:highlight w:val="none"/>
        </w:rPr>
      </w:pPr>
    </w:p>
    <w:bookmarkEnd w:id="165"/>
    <w:bookmarkEnd w:id="166"/>
    <w:p>
      <w:pPr>
        <w:spacing w:line="360" w:lineRule="auto"/>
        <w:jc w:val="center"/>
        <w:rPr>
          <w:rFonts w:ascii="宋体" w:hAnsi="宋体" w:eastAsia="宋体" w:cs="宋体"/>
          <w:color w:val="auto"/>
          <w:sz w:val="24"/>
          <w:highlight w:val="none"/>
        </w:rPr>
      </w:pPr>
    </w:p>
    <w:p>
      <w:pPr>
        <w:spacing w:line="360" w:lineRule="auto"/>
        <w:jc w:val="center"/>
        <w:rPr>
          <w:rFonts w:ascii="宋体" w:hAnsi="宋体" w:eastAsia="宋体" w:cs="宋体"/>
          <w:color w:val="auto"/>
          <w:sz w:val="24"/>
          <w:highlight w:val="none"/>
        </w:rPr>
      </w:pPr>
    </w:p>
    <w:p>
      <w:pPr>
        <w:spacing w:line="360" w:lineRule="auto"/>
        <w:jc w:val="center"/>
        <w:rPr>
          <w:rFonts w:ascii="宋体" w:hAnsi="宋体" w:eastAsia="宋体" w:cs="宋体"/>
          <w:color w:val="auto"/>
          <w:sz w:val="24"/>
          <w:highlight w:val="none"/>
        </w:rPr>
      </w:pPr>
    </w:p>
    <w:p>
      <w:pPr>
        <w:spacing w:line="360" w:lineRule="auto"/>
        <w:jc w:val="center"/>
        <w:rPr>
          <w:rFonts w:ascii="宋体" w:hAnsi="宋体" w:eastAsia="宋体" w:cs="宋体"/>
          <w:color w:val="auto"/>
          <w:sz w:val="24"/>
          <w:highlight w:val="none"/>
        </w:rPr>
      </w:pPr>
      <w:r>
        <w:rPr>
          <w:rFonts w:hint="eastAsia" w:ascii="宋体" w:hAnsi="宋体" w:eastAsia="宋体" w:cs="宋体"/>
          <w:b/>
          <w:color w:val="auto"/>
          <w:sz w:val="84"/>
          <w:szCs w:val="84"/>
          <w:highlight w:val="none"/>
        </w:rPr>
        <w:t>响应文件</w:t>
      </w:r>
    </w:p>
    <w:p>
      <w:pPr>
        <w:spacing w:line="360" w:lineRule="auto"/>
        <w:ind w:firstLine="3058" w:firstLineChars="1088"/>
        <w:rPr>
          <w:rFonts w:ascii="宋体" w:hAnsi="宋体" w:eastAsia="宋体" w:cs="宋体"/>
          <w:b/>
          <w:color w:val="auto"/>
          <w:sz w:val="28"/>
          <w:szCs w:val="28"/>
          <w:highlight w:val="none"/>
          <w:u w:val="single"/>
        </w:rPr>
      </w:pPr>
      <w:bookmarkStart w:id="167" w:name="_Toc25325_WPSOffice_Level3"/>
      <w:r>
        <w:rPr>
          <w:rFonts w:ascii="Times New Roman" w:hAnsi="Times New Roman" w:eastAsia="宋体" w:cs="Times New Roman"/>
          <w:b/>
          <w:color w:val="auto"/>
          <w:sz w:val="28"/>
          <w:szCs w:val="28"/>
          <w:highlight w:val="none"/>
        </w:rPr>
        <w:t>项目编号：</w:t>
      </w:r>
      <w:bookmarkEnd w:id="167"/>
      <w:r>
        <w:rPr>
          <w:rFonts w:hint="eastAsia" w:ascii="Times New Roman" w:hAnsi="Times New Roman" w:eastAsia="宋体" w:cs="Times New Roman"/>
          <w:b/>
          <w:color w:val="auto"/>
          <w:sz w:val="28"/>
          <w:szCs w:val="28"/>
          <w:highlight w:val="none"/>
        </w:rPr>
        <w:t>CXYZC【2023】第</w:t>
      </w:r>
      <w:r>
        <w:rPr>
          <w:rFonts w:hint="eastAsia" w:ascii="Times New Roman" w:hAnsi="Times New Roman" w:eastAsia="宋体" w:cs="Times New Roman"/>
          <w:b/>
          <w:color w:val="auto"/>
          <w:sz w:val="28"/>
          <w:szCs w:val="28"/>
          <w:highlight w:val="none"/>
          <w:lang w:val="en-US" w:eastAsia="zh-CN"/>
        </w:rPr>
        <w:t>1</w:t>
      </w:r>
      <w:r>
        <w:rPr>
          <w:rFonts w:hint="eastAsia" w:ascii="Times New Roman" w:hAnsi="Times New Roman" w:eastAsia="宋体" w:cs="Times New Roman"/>
          <w:b/>
          <w:color w:val="auto"/>
          <w:sz w:val="28"/>
          <w:szCs w:val="28"/>
          <w:highlight w:val="none"/>
        </w:rPr>
        <w:t>号</w:t>
      </w:r>
    </w:p>
    <w:p>
      <w:pPr>
        <w:spacing w:line="360" w:lineRule="auto"/>
        <w:jc w:val="center"/>
        <w:rPr>
          <w:rFonts w:ascii="宋体" w:hAnsi="宋体" w:eastAsia="宋体" w:cs="宋体"/>
          <w:color w:val="auto"/>
          <w:sz w:val="24"/>
          <w:highlight w:val="none"/>
        </w:rPr>
      </w:pPr>
    </w:p>
    <w:p>
      <w:pPr>
        <w:spacing w:line="360" w:lineRule="auto"/>
        <w:jc w:val="center"/>
        <w:rPr>
          <w:rFonts w:ascii="宋体" w:hAnsi="宋体" w:eastAsia="宋体" w:cs="宋体"/>
          <w:color w:val="auto"/>
          <w:sz w:val="24"/>
          <w:highlight w:val="none"/>
        </w:rPr>
      </w:pPr>
    </w:p>
    <w:p>
      <w:pPr>
        <w:spacing w:line="360" w:lineRule="auto"/>
        <w:jc w:val="center"/>
        <w:rPr>
          <w:rFonts w:ascii="宋体" w:hAnsi="宋体" w:eastAsia="宋体" w:cs="宋体"/>
          <w:color w:val="auto"/>
          <w:sz w:val="24"/>
          <w:highlight w:val="none"/>
        </w:rPr>
      </w:pPr>
    </w:p>
    <w:p>
      <w:pPr>
        <w:spacing w:line="360" w:lineRule="auto"/>
        <w:ind w:firstLine="1500" w:firstLineChars="500"/>
        <w:rPr>
          <w:rFonts w:ascii="宋体" w:hAnsi="宋体" w:cs="宋体-18030"/>
          <w:color w:val="auto"/>
          <w:sz w:val="30"/>
          <w:szCs w:val="30"/>
          <w:highlight w:val="none"/>
        </w:rPr>
      </w:pPr>
      <w:r>
        <w:rPr>
          <w:rFonts w:hint="eastAsia" w:ascii="宋体" w:hAnsi="宋体" w:cs="宋体-18030"/>
          <w:color w:val="auto"/>
          <w:kern w:val="0"/>
          <w:sz w:val="30"/>
          <w:szCs w:val="30"/>
          <w:highlight w:val="none"/>
        </w:rPr>
        <w:t>供应商名称</w:t>
      </w:r>
      <w:r>
        <w:rPr>
          <w:rFonts w:hint="eastAsia" w:ascii="宋体" w:hAnsi="宋体" w:cs="宋体-18030"/>
          <w:color w:val="auto"/>
          <w:sz w:val="30"/>
          <w:szCs w:val="30"/>
          <w:highlight w:val="none"/>
        </w:rPr>
        <w:t>：</w:t>
      </w:r>
      <w:r>
        <w:rPr>
          <w:rFonts w:hint="eastAsia" w:ascii="宋体" w:hAnsi="宋体" w:cs="宋体-18030"/>
          <w:color w:val="auto"/>
          <w:sz w:val="30"/>
          <w:szCs w:val="30"/>
          <w:highlight w:val="none"/>
          <w:u w:val="single"/>
        </w:rPr>
        <w:t xml:space="preserve">               （盖章）      </w:t>
      </w:r>
    </w:p>
    <w:p>
      <w:pPr>
        <w:wordWrap w:val="0"/>
        <w:spacing w:line="360" w:lineRule="auto"/>
        <w:ind w:firstLine="1500" w:firstLineChars="500"/>
        <w:rPr>
          <w:rFonts w:ascii="宋体" w:hAnsi="宋体" w:cs="宋体-18030"/>
          <w:color w:val="auto"/>
          <w:sz w:val="30"/>
          <w:szCs w:val="30"/>
          <w:highlight w:val="none"/>
        </w:rPr>
      </w:pPr>
      <w:r>
        <w:rPr>
          <w:rFonts w:hint="eastAsia" w:ascii="宋体" w:hAnsi="宋体" w:cs="宋体-18030"/>
          <w:color w:val="auto"/>
          <w:sz w:val="30"/>
          <w:szCs w:val="30"/>
          <w:highlight w:val="none"/>
        </w:rPr>
        <w:t>法定代表人或其授权代理人：</w:t>
      </w:r>
      <w:r>
        <w:rPr>
          <w:rFonts w:hint="eastAsia" w:ascii="宋体" w:hAnsi="宋体" w:cs="宋体-18030"/>
          <w:color w:val="auto"/>
          <w:sz w:val="30"/>
          <w:szCs w:val="30"/>
          <w:highlight w:val="none"/>
          <w:u w:val="single"/>
        </w:rPr>
        <w:t xml:space="preserve">     （签字或盖章）      </w:t>
      </w:r>
    </w:p>
    <w:p>
      <w:pPr>
        <w:spacing w:line="360" w:lineRule="auto"/>
        <w:ind w:firstLine="1500" w:firstLineChars="500"/>
        <w:rPr>
          <w:rFonts w:ascii="宋体" w:hAnsi="宋体" w:eastAsia="宋体" w:cs="宋体"/>
          <w:color w:val="auto"/>
          <w:sz w:val="24"/>
          <w:highlight w:val="none"/>
        </w:rPr>
      </w:pPr>
      <w:r>
        <w:rPr>
          <w:rFonts w:hint="eastAsia" w:ascii="宋体" w:hAnsi="宋体" w:cs="宋体-18030"/>
          <w:color w:val="auto"/>
          <w:sz w:val="30"/>
          <w:szCs w:val="30"/>
          <w:highlight w:val="none"/>
        </w:rPr>
        <w:t>日     期：    年   月    日</w:t>
      </w:r>
    </w:p>
    <w:p>
      <w:pPr>
        <w:spacing w:line="360" w:lineRule="auto"/>
        <w:ind w:firstLine="1980" w:firstLineChars="825"/>
        <w:jc w:val="center"/>
        <w:rPr>
          <w:rFonts w:ascii="宋体" w:hAnsi="宋体" w:eastAsia="宋体" w:cs="宋体"/>
          <w:color w:val="auto"/>
          <w:sz w:val="24"/>
          <w:highlight w:val="none"/>
        </w:rPr>
      </w:pPr>
    </w:p>
    <w:p>
      <w:pPr>
        <w:spacing w:line="360" w:lineRule="auto"/>
        <w:rPr>
          <w:rFonts w:ascii="宋体" w:hAnsi="宋体" w:eastAsia="宋体" w:cs="宋体"/>
          <w:color w:val="auto"/>
          <w:sz w:val="24"/>
          <w:highlight w:val="none"/>
        </w:rPr>
        <w:sectPr>
          <w:pgSz w:w="11906" w:h="16838"/>
          <w:pgMar w:top="1418" w:right="1134" w:bottom="1134" w:left="1417" w:header="936" w:footer="720" w:gutter="0"/>
          <w:cols w:space="720" w:num="1"/>
          <w:docGrid w:linePitch="331" w:charSpace="0"/>
        </w:sectPr>
      </w:pPr>
      <w:bookmarkStart w:id="168" w:name="_Toc396"/>
    </w:p>
    <w:p>
      <w:pPr>
        <w:pStyle w:val="4"/>
        <w:jc w:val="center"/>
        <w:rPr>
          <w:rFonts w:ascii="Times New Roman" w:hAnsi="Times New Roman" w:eastAsia="宋体" w:cs="Times New Roman"/>
          <w:color w:val="auto"/>
          <w:highlight w:val="none"/>
        </w:rPr>
      </w:pPr>
      <w:bookmarkStart w:id="169" w:name="_Toc27912"/>
      <w:bookmarkStart w:id="170" w:name="_Toc60996687"/>
      <w:r>
        <w:rPr>
          <w:rFonts w:ascii="Times New Roman" w:hAnsi="Times New Roman" w:eastAsia="宋体" w:cs="Times New Roman"/>
          <w:color w:val="auto"/>
          <w:highlight w:val="none"/>
        </w:rPr>
        <w:t xml:space="preserve">4.1 </w:t>
      </w:r>
      <w:bookmarkStart w:id="171" w:name="_Toc417843490"/>
      <w:bookmarkStart w:id="172" w:name="_Toc417843441"/>
      <w:bookmarkStart w:id="173" w:name="_Toc420071241"/>
      <w:bookmarkStart w:id="174" w:name="_Toc427339187"/>
      <w:r>
        <w:rPr>
          <w:rFonts w:ascii="Times New Roman" w:hAnsi="Times New Roman" w:eastAsia="宋体" w:cs="Times New Roman"/>
          <w:color w:val="auto"/>
          <w:highlight w:val="none"/>
        </w:rPr>
        <w:t>响 应 函</w:t>
      </w:r>
      <w:bookmarkEnd w:id="169"/>
    </w:p>
    <w:bookmarkEnd w:id="168"/>
    <w:bookmarkEnd w:id="170"/>
    <w:bookmarkEnd w:id="171"/>
    <w:bookmarkEnd w:id="172"/>
    <w:bookmarkEnd w:id="173"/>
    <w:bookmarkEnd w:id="174"/>
    <w:p>
      <w:pPr>
        <w:spacing w:line="400" w:lineRule="exact"/>
        <w:rPr>
          <w:rFonts w:ascii="Times New Roman" w:hAnsi="Times New Roman" w:eastAsia="宋体" w:cs="Times New Roman"/>
          <w:color w:val="auto"/>
          <w:sz w:val="24"/>
          <w:highlight w:val="none"/>
        </w:rPr>
      </w:pPr>
      <w:bookmarkStart w:id="175" w:name="_Toc420071240"/>
      <w:bookmarkStart w:id="176" w:name="_Toc427339186"/>
      <w:bookmarkStart w:id="177" w:name="_Toc417843489"/>
      <w:bookmarkStart w:id="178" w:name="_Toc417843440"/>
      <w:bookmarkStart w:id="179" w:name="_Toc347849252"/>
    </w:p>
    <w:p>
      <w:pPr>
        <w:spacing w:line="360" w:lineRule="auto"/>
        <w:jc w:val="left"/>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致：</w:t>
      </w:r>
    </w:p>
    <w:p>
      <w:pPr>
        <w:spacing w:line="360" w:lineRule="auto"/>
        <w:ind w:firstLine="480" w:firstLineChars="200"/>
        <w:jc w:val="left"/>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我方仔细研究了项目竞争性磋商文件的全部内容，我方正式授权下述签字人全权代表参加磋商，并提交磋商响应文件正本一份，副本</w:t>
      </w:r>
      <w:r>
        <w:rPr>
          <w:rFonts w:hint="eastAsia" w:ascii="Times New Roman" w:hAnsi="Times New Roman" w:eastAsia="宋体" w:cs="Times New Roman"/>
          <w:color w:val="auto"/>
          <w:sz w:val="24"/>
          <w:highlight w:val="none"/>
        </w:rPr>
        <w:t>一</w:t>
      </w:r>
      <w:r>
        <w:rPr>
          <w:rFonts w:ascii="Times New Roman" w:hAnsi="Times New Roman" w:eastAsia="宋体" w:cs="Times New Roman"/>
          <w:color w:val="auto"/>
          <w:sz w:val="24"/>
          <w:highlight w:val="none"/>
        </w:rPr>
        <w:t>份。</w:t>
      </w:r>
    </w:p>
    <w:p>
      <w:pPr>
        <w:spacing w:line="360" w:lineRule="auto"/>
        <w:ind w:firstLine="480" w:firstLineChars="200"/>
        <w:jc w:val="left"/>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据此申请函，签字人兹宣布同意如下：</w:t>
      </w:r>
    </w:p>
    <w:p>
      <w:pPr>
        <w:spacing w:line="360" w:lineRule="auto"/>
        <w:ind w:firstLine="480" w:firstLineChars="200"/>
        <w:jc w:val="left"/>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1.按竞争性磋商文件需求及</w:t>
      </w:r>
      <w:r>
        <w:rPr>
          <w:rFonts w:hint="eastAsia" w:ascii="Times New Roman" w:hAnsi="Times New Roman" w:eastAsia="宋体" w:cs="Times New Roman"/>
          <w:color w:val="auto"/>
          <w:sz w:val="24"/>
          <w:highlight w:val="none"/>
        </w:rPr>
        <w:t>服务</w:t>
      </w:r>
      <w:r>
        <w:rPr>
          <w:rFonts w:ascii="Times New Roman" w:hAnsi="Times New Roman" w:eastAsia="宋体" w:cs="Times New Roman"/>
          <w:color w:val="auto"/>
          <w:sz w:val="24"/>
          <w:highlight w:val="none"/>
        </w:rPr>
        <w:t>要求和报价表，报价详见“报价一览表”。</w:t>
      </w:r>
    </w:p>
    <w:p>
      <w:pPr>
        <w:spacing w:line="360" w:lineRule="auto"/>
        <w:ind w:firstLine="480" w:firstLineChars="200"/>
        <w:jc w:val="left"/>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2.我方同意在《供应商须知》规定的递交磋商响应文件截止日期起遵循本磋商响应文件，并</w:t>
      </w:r>
      <w:r>
        <w:rPr>
          <w:rFonts w:hint="eastAsia" w:ascii="Times New Roman" w:hAnsi="Times New Roman" w:eastAsia="宋体" w:cs="Times New Roman"/>
          <w:color w:val="auto"/>
          <w:sz w:val="24"/>
          <w:highlight w:val="none"/>
        </w:rPr>
        <w:t>按</w:t>
      </w:r>
      <w:r>
        <w:rPr>
          <w:rFonts w:ascii="Times New Roman" w:hAnsi="Times New Roman" w:eastAsia="宋体" w:cs="Times New Roman"/>
          <w:color w:val="auto"/>
          <w:sz w:val="24"/>
          <w:highlight w:val="none"/>
        </w:rPr>
        <w:t>《供应商须知》规定的有效期满之前均具有约束力。如果我方报价被接受，则至合同履行完毕为止，本承诺书保持有效。</w:t>
      </w:r>
    </w:p>
    <w:p>
      <w:pPr>
        <w:spacing w:line="360" w:lineRule="auto"/>
        <w:ind w:firstLine="480" w:firstLineChars="200"/>
        <w:jc w:val="left"/>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3.我方同意供应商须知中关于没收保证金的规定。</w:t>
      </w:r>
    </w:p>
    <w:p>
      <w:pPr>
        <w:spacing w:line="360" w:lineRule="auto"/>
        <w:ind w:firstLine="480" w:firstLineChars="200"/>
        <w:jc w:val="left"/>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4.我方将按竞争性磋商文件的规定履行合同责任和义务。</w:t>
      </w:r>
    </w:p>
    <w:p>
      <w:pPr>
        <w:spacing w:line="360" w:lineRule="auto"/>
        <w:ind w:firstLine="480" w:firstLineChars="200"/>
        <w:jc w:val="left"/>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5.同意应贵方要求提供与本次磋商有关的任何数据和资料，并保证数据和资料的完整性和真实性。</w:t>
      </w:r>
    </w:p>
    <w:p>
      <w:pPr>
        <w:spacing w:line="360" w:lineRule="auto"/>
        <w:ind w:firstLine="480" w:firstLineChars="200"/>
        <w:jc w:val="left"/>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6.我方完全理解贵方不一定要接受最低报价的供应商为成交供应商的行为。</w:t>
      </w:r>
    </w:p>
    <w:p>
      <w:pPr>
        <w:spacing w:line="360" w:lineRule="auto"/>
        <w:ind w:firstLine="480" w:firstLineChars="200"/>
        <w:jc w:val="left"/>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与本次磋商有关的正式通讯地址为：</w:t>
      </w:r>
    </w:p>
    <w:p>
      <w:pPr>
        <w:spacing w:line="360" w:lineRule="auto"/>
        <w:ind w:firstLine="480" w:firstLineChars="200"/>
        <w:jc w:val="left"/>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地    址：           邮政编码：</w:t>
      </w:r>
    </w:p>
    <w:p>
      <w:pPr>
        <w:spacing w:line="360" w:lineRule="auto"/>
        <w:ind w:firstLine="480" w:firstLineChars="200"/>
        <w:jc w:val="left"/>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电    话：           传    真：</w:t>
      </w:r>
    </w:p>
    <w:p>
      <w:pPr>
        <w:spacing w:line="360" w:lineRule="auto"/>
        <w:ind w:firstLine="480" w:firstLineChars="200"/>
        <w:jc w:val="left"/>
        <w:rPr>
          <w:rFonts w:ascii="Times New Roman" w:hAnsi="Times New Roman" w:eastAsia="宋体" w:cs="Times New Roman"/>
          <w:color w:val="auto"/>
          <w:sz w:val="24"/>
          <w:highlight w:val="none"/>
          <w:u w:val="single"/>
        </w:rPr>
      </w:pPr>
      <w:r>
        <w:rPr>
          <w:rFonts w:ascii="Times New Roman" w:hAnsi="Times New Roman" w:eastAsia="宋体" w:cs="Times New Roman"/>
          <w:color w:val="auto"/>
          <w:sz w:val="24"/>
          <w:highlight w:val="none"/>
        </w:rPr>
        <w:t>开户名称：</w:t>
      </w:r>
    </w:p>
    <w:p>
      <w:pPr>
        <w:spacing w:line="360" w:lineRule="auto"/>
        <w:ind w:firstLine="480" w:firstLineChars="200"/>
        <w:jc w:val="left"/>
        <w:rPr>
          <w:rFonts w:ascii="Times New Roman" w:hAnsi="Times New Roman" w:eastAsia="宋体" w:cs="Times New Roman"/>
          <w:color w:val="auto"/>
          <w:sz w:val="24"/>
          <w:highlight w:val="none"/>
          <w:u w:val="single"/>
        </w:rPr>
      </w:pPr>
      <w:r>
        <w:rPr>
          <w:rFonts w:ascii="Times New Roman" w:hAnsi="Times New Roman" w:eastAsia="宋体" w:cs="Times New Roman"/>
          <w:color w:val="auto"/>
          <w:sz w:val="24"/>
          <w:highlight w:val="none"/>
        </w:rPr>
        <w:t>开户银行：</w:t>
      </w:r>
    </w:p>
    <w:p>
      <w:pPr>
        <w:spacing w:line="360" w:lineRule="auto"/>
        <w:ind w:firstLine="480" w:firstLineChars="200"/>
        <w:jc w:val="left"/>
        <w:rPr>
          <w:rFonts w:ascii="Times New Roman" w:hAnsi="Times New Roman" w:eastAsia="宋体" w:cs="Times New Roman"/>
          <w:color w:val="auto"/>
          <w:sz w:val="24"/>
          <w:highlight w:val="none"/>
          <w:u w:val="single"/>
        </w:rPr>
      </w:pPr>
      <w:r>
        <w:rPr>
          <w:rFonts w:ascii="Times New Roman" w:hAnsi="Times New Roman" w:eastAsia="宋体" w:cs="Times New Roman"/>
          <w:color w:val="auto"/>
          <w:sz w:val="24"/>
          <w:highlight w:val="none"/>
        </w:rPr>
        <w:t>帐    号：</w:t>
      </w:r>
    </w:p>
    <w:p>
      <w:pPr>
        <w:spacing w:line="360" w:lineRule="auto"/>
        <w:ind w:firstLine="480" w:firstLineChars="200"/>
        <w:jc w:val="left"/>
        <w:rPr>
          <w:rFonts w:ascii="Times New Roman" w:hAnsi="Times New Roman" w:eastAsia="宋体" w:cs="Times New Roman"/>
          <w:color w:val="auto"/>
          <w:sz w:val="24"/>
          <w:highlight w:val="none"/>
        </w:rPr>
      </w:pPr>
    </w:p>
    <w:p>
      <w:pPr>
        <w:spacing w:line="360" w:lineRule="auto"/>
        <w:ind w:firstLine="480" w:firstLineChars="200"/>
        <w:jc w:val="left"/>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供应商：（盖单位章）</w:t>
      </w:r>
    </w:p>
    <w:p>
      <w:pPr>
        <w:spacing w:line="360" w:lineRule="auto"/>
        <w:ind w:firstLine="480" w:firstLineChars="200"/>
        <w:jc w:val="left"/>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法定代表人或其委托代理人：（签字）</w:t>
      </w:r>
    </w:p>
    <w:p>
      <w:pPr>
        <w:pStyle w:val="6"/>
        <w:ind w:firstLine="48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日期：</w:t>
      </w:r>
      <w:r>
        <w:rPr>
          <w:rFonts w:hint="eastAsia" w:ascii="Times New Roman" w:hAnsi="Times New Roman" w:eastAsia="宋体" w:cs="Times New Roman"/>
          <w:color w:val="auto"/>
          <w:sz w:val="24"/>
          <w:highlight w:val="none"/>
        </w:rPr>
        <w:t xml:space="preserve">    </w:t>
      </w:r>
      <w:r>
        <w:rPr>
          <w:rFonts w:ascii="Times New Roman" w:hAnsi="Times New Roman" w:eastAsia="宋体" w:cs="Times New Roman"/>
          <w:color w:val="auto"/>
          <w:sz w:val="24"/>
          <w:highlight w:val="none"/>
        </w:rPr>
        <w:t>年</w:t>
      </w:r>
      <w:r>
        <w:rPr>
          <w:rFonts w:hint="eastAsia" w:ascii="Times New Roman" w:hAnsi="Times New Roman" w:eastAsia="宋体" w:cs="Times New Roman"/>
          <w:color w:val="auto"/>
          <w:sz w:val="24"/>
          <w:highlight w:val="none"/>
        </w:rPr>
        <w:t xml:space="preserve">   </w:t>
      </w:r>
      <w:r>
        <w:rPr>
          <w:rFonts w:ascii="Times New Roman" w:hAnsi="Times New Roman" w:eastAsia="宋体" w:cs="Times New Roman"/>
          <w:color w:val="auto"/>
          <w:sz w:val="24"/>
          <w:highlight w:val="none"/>
        </w:rPr>
        <w:t>月</w:t>
      </w:r>
      <w:r>
        <w:rPr>
          <w:rFonts w:hint="eastAsia" w:ascii="Times New Roman" w:hAnsi="Times New Roman" w:eastAsia="宋体" w:cs="Times New Roman"/>
          <w:color w:val="auto"/>
          <w:sz w:val="24"/>
          <w:highlight w:val="none"/>
        </w:rPr>
        <w:t xml:space="preserve">   </w:t>
      </w:r>
      <w:r>
        <w:rPr>
          <w:rFonts w:ascii="Times New Roman" w:hAnsi="Times New Roman" w:eastAsia="宋体" w:cs="Times New Roman"/>
          <w:color w:val="auto"/>
          <w:sz w:val="24"/>
          <w:highlight w:val="none"/>
        </w:rPr>
        <w:t>日</w:t>
      </w:r>
    </w:p>
    <w:p>
      <w:pPr>
        <w:rPr>
          <w:rFonts w:ascii="Times New Roman" w:hAnsi="Times New Roman" w:eastAsia="宋体" w:cs="Times New Roman"/>
          <w:color w:val="auto"/>
          <w:sz w:val="24"/>
          <w:highlight w:val="none"/>
        </w:rPr>
      </w:pPr>
    </w:p>
    <w:bookmarkEnd w:id="175"/>
    <w:bookmarkEnd w:id="176"/>
    <w:bookmarkEnd w:id="177"/>
    <w:bookmarkEnd w:id="178"/>
    <w:bookmarkEnd w:id="179"/>
    <w:p>
      <w:pPr>
        <w:spacing w:line="360" w:lineRule="auto"/>
        <w:jc w:val="left"/>
        <w:rPr>
          <w:rFonts w:ascii="Times New Roman" w:hAnsi="Times New Roman" w:eastAsia="宋体" w:cs="Times New Roman"/>
          <w:color w:val="auto"/>
          <w:sz w:val="24"/>
          <w:highlight w:val="none"/>
        </w:rPr>
      </w:pPr>
    </w:p>
    <w:p>
      <w:pPr>
        <w:adjustRightInd w:val="0"/>
        <w:snapToGrid w:val="0"/>
        <w:spacing w:beforeLines="50" w:line="360" w:lineRule="auto"/>
        <w:rPr>
          <w:rFonts w:ascii="宋体" w:hAnsi="宋体" w:eastAsia="宋体" w:cs="宋体"/>
          <w:color w:val="auto"/>
          <w:szCs w:val="21"/>
          <w:highlight w:val="none"/>
        </w:rPr>
        <w:sectPr>
          <w:pgSz w:w="11906" w:h="16838"/>
          <w:pgMar w:top="1418" w:right="1134" w:bottom="1134" w:left="1417" w:header="936" w:footer="720" w:gutter="0"/>
          <w:cols w:space="720" w:num="1"/>
          <w:docGrid w:linePitch="331" w:charSpace="0"/>
        </w:sectPr>
      </w:pPr>
    </w:p>
    <w:p>
      <w:pPr>
        <w:pStyle w:val="4"/>
        <w:jc w:val="center"/>
        <w:rPr>
          <w:rFonts w:ascii="Times New Roman" w:hAnsi="Times New Roman" w:eastAsia="宋体" w:cs="Times New Roman"/>
          <w:color w:val="auto"/>
          <w:highlight w:val="none"/>
        </w:rPr>
      </w:pPr>
      <w:bookmarkStart w:id="180" w:name="_Toc6417"/>
      <w:r>
        <w:rPr>
          <w:rFonts w:ascii="Times New Roman" w:hAnsi="Times New Roman" w:eastAsia="宋体" w:cs="Times New Roman"/>
          <w:color w:val="auto"/>
          <w:highlight w:val="none"/>
        </w:rPr>
        <w:t>4.2 报价一览表</w:t>
      </w:r>
      <w:bookmarkEnd w:id="180"/>
    </w:p>
    <w:p>
      <w:pPr>
        <w:jc w:val="center"/>
        <w:rPr>
          <w:rFonts w:ascii="Times New Roman" w:hAnsi="Times New Roman" w:eastAsia="宋体" w:cs="Times New Roman"/>
          <w:color w:val="auto"/>
          <w:highlight w:val="none"/>
        </w:rPr>
      </w:pPr>
      <w:r>
        <w:rPr>
          <w:rFonts w:ascii="Times New Roman" w:hAnsi="Times New Roman" w:eastAsia="宋体" w:cs="Times New Roman"/>
          <w:b/>
          <w:bCs/>
          <w:color w:val="auto"/>
          <w:sz w:val="32"/>
          <w:szCs w:val="32"/>
          <w:highlight w:val="none"/>
        </w:rPr>
        <w:t>报价一览表</w:t>
      </w:r>
    </w:p>
    <w:p>
      <w:pPr>
        <w:ind w:firstLine="720" w:firstLineChars="3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项目名称：</w:t>
      </w:r>
    </w:p>
    <w:p>
      <w:pPr>
        <w:ind w:firstLine="720" w:firstLineChars="3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项目编号：</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4"/>
        <w:gridCol w:w="6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2414" w:type="dxa"/>
            <w:vAlign w:val="center"/>
          </w:tcPr>
          <w:p>
            <w:pPr>
              <w:jc w:val="center"/>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磋商报价</w:t>
            </w:r>
          </w:p>
        </w:tc>
        <w:tc>
          <w:tcPr>
            <w:tcW w:w="6551" w:type="dxa"/>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人民币</w:t>
            </w:r>
            <w:r>
              <w:rPr>
                <w:rFonts w:hint="eastAsia" w:ascii="Times New Roman" w:hAnsi="Times New Roman" w:eastAsia="宋体" w:cs="Times New Roman"/>
                <w:color w:val="auto"/>
                <w:sz w:val="24"/>
                <w:highlight w:val="none"/>
                <w:u w:val="single"/>
              </w:rPr>
              <w:t xml:space="preserve">             </w:t>
            </w:r>
            <w:r>
              <w:rPr>
                <w:rFonts w:hint="eastAsia" w:ascii="Times New Roman" w:hAnsi="Times New Roman" w:eastAsia="宋体" w:cs="Times New Roman"/>
                <w:color w:val="auto"/>
                <w:sz w:val="24"/>
                <w:highlight w:val="none"/>
              </w:rPr>
              <w:t>元（小写）</w:t>
            </w:r>
          </w:p>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人民币</w:t>
            </w:r>
            <w:r>
              <w:rPr>
                <w:rFonts w:hint="eastAsia" w:ascii="Times New Roman" w:hAnsi="Times New Roman" w:eastAsia="宋体" w:cs="Times New Roman"/>
                <w:color w:val="auto"/>
                <w:sz w:val="24"/>
                <w:highlight w:val="none"/>
                <w:u w:val="single"/>
              </w:rPr>
              <w:t xml:space="preserve">             </w:t>
            </w:r>
            <w:r>
              <w:rPr>
                <w:rFonts w:hint="eastAsia" w:ascii="Times New Roman" w:hAnsi="Times New Roman" w:eastAsia="宋体" w:cs="Times New Roman"/>
                <w:color w:val="auto"/>
                <w:sz w:val="24"/>
                <w:highlight w:val="none"/>
              </w:rPr>
              <w:t>元（大写）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2414" w:type="dxa"/>
            <w:vAlign w:val="center"/>
          </w:tcPr>
          <w:p>
            <w:pPr>
              <w:jc w:val="center"/>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项目负责人</w:t>
            </w:r>
          </w:p>
        </w:tc>
        <w:tc>
          <w:tcPr>
            <w:tcW w:w="6551" w:type="dxa"/>
            <w:vAlign w:val="center"/>
          </w:tcPr>
          <w:p>
            <w:pPr>
              <w:spacing w:line="360" w:lineRule="auto"/>
              <w:jc w:val="center"/>
              <w:rPr>
                <w:rFonts w:ascii="Times New Roman" w:hAnsi="Times New Roman" w:eastAsia="宋体"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2414" w:type="dxa"/>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服务质量承诺</w:t>
            </w:r>
          </w:p>
        </w:tc>
        <w:tc>
          <w:tcPr>
            <w:tcW w:w="6551" w:type="dxa"/>
            <w:vAlign w:val="center"/>
          </w:tcPr>
          <w:p>
            <w:pPr>
              <w:spacing w:line="360" w:lineRule="auto"/>
              <w:jc w:val="center"/>
              <w:rPr>
                <w:rFonts w:ascii="Times New Roman" w:hAnsi="Times New Roman" w:eastAsia="宋体"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2414" w:type="dxa"/>
            <w:vAlign w:val="center"/>
          </w:tcPr>
          <w:p>
            <w:pPr>
              <w:ind w:firstLine="2" w:firstLineChars="1"/>
              <w:jc w:val="center"/>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磋商保证金金额</w:t>
            </w:r>
          </w:p>
        </w:tc>
        <w:tc>
          <w:tcPr>
            <w:tcW w:w="6551" w:type="dxa"/>
            <w:vAlign w:val="center"/>
          </w:tcPr>
          <w:p>
            <w:pPr>
              <w:spacing w:line="360" w:lineRule="auto"/>
              <w:ind w:firstLine="1200" w:firstLineChars="500"/>
              <w:jc w:val="center"/>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2414" w:type="dxa"/>
            <w:tcBorders>
              <w:bottom w:val="single" w:color="auto" w:sz="4" w:space="0"/>
            </w:tcBorders>
            <w:vAlign w:val="center"/>
          </w:tcPr>
          <w:p>
            <w:pPr>
              <w:jc w:val="center"/>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备注</w:t>
            </w:r>
          </w:p>
        </w:tc>
        <w:tc>
          <w:tcPr>
            <w:tcW w:w="6551" w:type="dxa"/>
            <w:tcBorders>
              <w:bottom w:val="single" w:color="auto" w:sz="4" w:space="0"/>
            </w:tcBorders>
            <w:vAlign w:val="center"/>
          </w:tcPr>
          <w:p>
            <w:pPr>
              <w:spacing w:line="360" w:lineRule="auto"/>
              <w:jc w:val="left"/>
              <w:rPr>
                <w:rFonts w:ascii="Times New Roman" w:hAnsi="Times New Roman" w:eastAsia="宋体"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9" w:hRule="atLeast"/>
          <w:jc w:val="center"/>
        </w:trPr>
        <w:tc>
          <w:tcPr>
            <w:tcW w:w="8965" w:type="dxa"/>
            <w:gridSpan w:val="2"/>
            <w:tcBorders>
              <w:top w:val="single" w:color="auto" w:sz="4" w:space="0"/>
              <w:left w:val="nil"/>
              <w:bottom w:val="nil"/>
              <w:right w:val="nil"/>
            </w:tcBorders>
            <w:vAlign w:val="center"/>
          </w:tcPr>
          <w:p>
            <w:pPr>
              <w:spacing w:line="360" w:lineRule="auto"/>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注：1.本表应放置于</w:t>
            </w:r>
            <w:r>
              <w:rPr>
                <w:rFonts w:hint="eastAsia" w:ascii="Times New Roman" w:hAnsi="Times New Roman" w:eastAsia="宋体" w:cs="Times New Roman"/>
                <w:color w:val="auto"/>
                <w:szCs w:val="21"/>
                <w:highlight w:val="none"/>
              </w:rPr>
              <w:t>响应</w:t>
            </w:r>
            <w:r>
              <w:rPr>
                <w:rFonts w:ascii="Times New Roman" w:hAnsi="Times New Roman" w:eastAsia="宋体" w:cs="Times New Roman"/>
                <w:color w:val="auto"/>
                <w:szCs w:val="21"/>
                <w:highlight w:val="none"/>
              </w:rPr>
              <w:t>函之后，投标文件正本中此表应为原件；</w:t>
            </w:r>
          </w:p>
          <w:p>
            <w:pPr>
              <w:numPr>
                <w:ilvl w:val="0"/>
                <w:numId w:val="4"/>
              </w:numPr>
              <w:spacing w:line="360" w:lineRule="auto"/>
              <w:ind w:left="212" w:leftChars="101" w:firstLine="210" w:firstLineChars="100"/>
              <w:jc w:val="left"/>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本表中的“投标报价”为全费用含税报价，“投标报价”应与投标函中“投标报价”和分项报价表中的“合价”合计数一致；</w:t>
            </w:r>
          </w:p>
          <w:p>
            <w:pPr>
              <w:numPr>
                <w:ilvl w:val="0"/>
                <w:numId w:val="4"/>
              </w:numPr>
              <w:spacing w:line="360" w:lineRule="auto"/>
              <w:ind w:firstLine="420"/>
              <w:rPr>
                <w:rFonts w:ascii="Times New Roman" w:hAnsi="Times New Roman" w:eastAsia="宋体" w:cs="Times New Roman"/>
                <w:color w:val="auto"/>
                <w:szCs w:val="20"/>
                <w:highlight w:val="none"/>
              </w:rPr>
            </w:pPr>
            <w:r>
              <w:rPr>
                <w:rFonts w:ascii="Times New Roman" w:hAnsi="Times New Roman" w:eastAsia="宋体" w:cs="Times New Roman"/>
                <w:color w:val="auto"/>
                <w:szCs w:val="21"/>
                <w:highlight w:val="none"/>
              </w:rPr>
              <w:t>磋商报价</w:t>
            </w:r>
            <w:r>
              <w:rPr>
                <w:rFonts w:hint="eastAsia" w:ascii="Times New Roman" w:hAnsi="Times New Roman" w:eastAsia="宋体" w:cs="Times New Roman"/>
                <w:color w:val="auto"/>
                <w:szCs w:val="21"/>
                <w:highlight w:val="none"/>
              </w:rPr>
              <w:t>包含完</w:t>
            </w:r>
            <w:r>
              <w:rPr>
                <w:rFonts w:ascii="Times New Roman" w:hAnsi="Times New Roman" w:eastAsia="宋体" w:cs="Times New Roman"/>
                <w:color w:val="auto"/>
                <w:szCs w:val="21"/>
                <w:highlight w:val="none"/>
              </w:rPr>
              <w:t>成整个项目的材料费、设计费、安装</w:t>
            </w:r>
            <w:r>
              <w:rPr>
                <w:rFonts w:hint="eastAsia" w:ascii="Times New Roman" w:hAnsi="Times New Roman" w:eastAsia="宋体" w:cs="Times New Roman"/>
                <w:color w:val="auto"/>
                <w:szCs w:val="21"/>
                <w:highlight w:val="none"/>
              </w:rPr>
              <w:t>调试</w:t>
            </w:r>
            <w:r>
              <w:rPr>
                <w:rFonts w:ascii="Times New Roman" w:hAnsi="Times New Roman" w:eastAsia="宋体" w:cs="Times New Roman"/>
                <w:color w:val="auto"/>
                <w:szCs w:val="21"/>
                <w:highlight w:val="none"/>
              </w:rPr>
              <w:t>费、包装费、运输费、装卸</w:t>
            </w:r>
            <w:r>
              <w:rPr>
                <w:rFonts w:hint="eastAsia" w:ascii="Times New Roman" w:hAnsi="Times New Roman" w:eastAsia="宋体" w:cs="Times New Roman"/>
                <w:color w:val="auto"/>
                <w:szCs w:val="21"/>
                <w:highlight w:val="none"/>
              </w:rPr>
              <w:t>搬运</w:t>
            </w:r>
            <w:r>
              <w:rPr>
                <w:rFonts w:ascii="Times New Roman" w:hAnsi="Times New Roman" w:eastAsia="宋体" w:cs="Times New Roman"/>
                <w:color w:val="auto"/>
                <w:szCs w:val="21"/>
                <w:highlight w:val="none"/>
              </w:rPr>
              <w:t>费、保管费、保险费、检测检验费、税费、配合验收费用及其它一切费用</w:t>
            </w:r>
            <w:r>
              <w:rPr>
                <w:rFonts w:hint="eastAsia" w:ascii="Times New Roman" w:hAnsi="Times New Roman" w:eastAsia="宋体" w:cs="Times New Roman"/>
                <w:color w:val="auto"/>
                <w:szCs w:val="21"/>
                <w:highlight w:val="none"/>
              </w:rPr>
              <w:t>。</w:t>
            </w:r>
          </w:p>
          <w:p>
            <w:pPr>
              <w:spacing w:line="360" w:lineRule="auto"/>
              <w:ind w:firstLine="420" w:firstLineChars="200"/>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4</w:t>
            </w:r>
            <w:r>
              <w:rPr>
                <w:rFonts w:ascii="Times New Roman" w:hAnsi="Times New Roman" w:eastAsia="宋体" w:cs="Times New Roman"/>
                <w:color w:val="auto"/>
                <w:szCs w:val="21"/>
                <w:highlight w:val="none"/>
              </w:rPr>
              <w:t>.本表应盖单位公章，法定代表人（负责人）或其委托代理人应签字或盖章。</w:t>
            </w:r>
          </w:p>
          <w:p>
            <w:pPr>
              <w:ind w:firstLine="420"/>
              <w:rPr>
                <w:rFonts w:ascii="Times New Roman" w:hAnsi="Times New Roman" w:eastAsia="宋体" w:cs="Times New Roman"/>
                <w:color w:val="auto"/>
                <w:szCs w:val="21"/>
                <w:highlight w:val="none"/>
              </w:rPr>
            </w:pPr>
          </w:p>
          <w:p>
            <w:pPr>
              <w:rPr>
                <w:rFonts w:ascii="Times New Roman" w:hAnsi="Times New Roman" w:eastAsia="宋体" w:cs="Times New Roman"/>
                <w:color w:val="auto"/>
                <w:szCs w:val="21"/>
                <w:highlight w:val="none"/>
              </w:rPr>
            </w:pPr>
          </w:p>
          <w:p>
            <w:pPr>
              <w:ind w:firstLine="420"/>
              <w:rPr>
                <w:rFonts w:ascii="Times New Roman" w:hAnsi="Times New Roman" w:eastAsia="宋体" w:cs="Times New Roman"/>
                <w:color w:val="auto"/>
                <w:szCs w:val="20"/>
                <w:highlight w:val="none"/>
              </w:rPr>
            </w:pPr>
          </w:p>
          <w:p>
            <w:pPr>
              <w:spacing w:line="480" w:lineRule="auto"/>
              <w:ind w:firstLine="2" w:firstLineChars="1"/>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供 应 商</w:t>
            </w:r>
            <w:r>
              <w:rPr>
                <w:rFonts w:ascii="Times New Roman" w:hAnsi="Times New Roman" w:eastAsia="宋体" w:cs="Times New Roman"/>
                <w:color w:val="auto"/>
                <w:szCs w:val="21"/>
                <w:highlight w:val="none"/>
              </w:rPr>
              <w:t>：（盖单位公章）</w:t>
            </w:r>
          </w:p>
          <w:p>
            <w:pPr>
              <w:spacing w:line="480" w:lineRule="auto"/>
              <w:ind w:firstLine="2" w:firstLineChars="1"/>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法定代表人（负责人）或其委托代理人：（签字或盖章）</w:t>
            </w:r>
          </w:p>
          <w:p>
            <w:pPr>
              <w:spacing w:line="480" w:lineRule="auto"/>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 xml:space="preserve">日期：    </w:t>
            </w:r>
            <w:r>
              <w:rPr>
                <w:rFonts w:ascii="Times New Roman" w:hAnsi="Times New Roman" w:eastAsia="宋体" w:cs="Times New Roman"/>
                <w:color w:val="auto"/>
                <w:szCs w:val="21"/>
                <w:highlight w:val="none"/>
              </w:rPr>
              <w:t>年</w:t>
            </w:r>
            <w:r>
              <w:rPr>
                <w:rFonts w:hint="eastAsia" w:ascii="Times New Roman" w:hAnsi="Times New Roman" w:eastAsia="宋体" w:cs="Times New Roman"/>
                <w:color w:val="auto"/>
                <w:szCs w:val="21"/>
                <w:highlight w:val="none"/>
              </w:rPr>
              <w:t xml:space="preserve">   </w:t>
            </w:r>
            <w:r>
              <w:rPr>
                <w:rFonts w:ascii="Times New Roman" w:hAnsi="Times New Roman" w:eastAsia="宋体" w:cs="Times New Roman"/>
                <w:color w:val="auto"/>
                <w:szCs w:val="21"/>
                <w:highlight w:val="none"/>
              </w:rPr>
              <w:t>月</w:t>
            </w:r>
            <w:r>
              <w:rPr>
                <w:rFonts w:hint="eastAsia" w:ascii="Times New Roman" w:hAnsi="Times New Roman" w:eastAsia="宋体" w:cs="Times New Roman"/>
                <w:color w:val="auto"/>
                <w:szCs w:val="21"/>
                <w:highlight w:val="none"/>
              </w:rPr>
              <w:t xml:space="preserve">     </w:t>
            </w:r>
            <w:r>
              <w:rPr>
                <w:rFonts w:ascii="Times New Roman" w:hAnsi="Times New Roman" w:eastAsia="宋体" w:cs="Times New Roman"/>
                <w:color w:val="auto"/>
                <w:szCs w:val="21"/>
                <w:highlight w:val="none"/>
              </w:rPr>
              <w:t>日</w:t>
            </w:r>
          </w:p>
        </w:tc>
      </w:tr>
    </w:tbl>
    <w:p>
      <w:pPr>
        <w:pStyle w:val="8"/>
        <w:ind w:firstLine="0" w:firstLineChars="0"/>
        <w:rPr>
          <w:rFonts w:ascii="宋体" w:hAnsi="宋体" w:eastAsia="宋体" w:cs="宋体"/>
          <w:color w:val="auto"/>
          <w:sz w:val="24"/>
          <w:highlight w:val="none"/>
        </w:rPr>
      </w:pPr>
    </w:p>
    <w:p>
      <w:pPr>
        <w:spacing w:line="400" w:lineRule="exact"/>
        <w:rPr>
          <w:rFonts w:ascii="宋体" w:hAnsi="宋体" w:eastAsia="宋体" w:cs="宋体"/>
          <w:color w:val="auto"/>
          <w:szCs w:val="20"/>
          <w:highlight w:val="none"/>
        </w:rPr>
        <w:sectPr>
          <w:pgSz w:w="11906" w:h="16838"/>
          <w:pgMar w:top="1418" w:right="1134" w:bottom="1134" w:left="1417" w:header="936" w:footer="720" w:gutter="0"/>
          <w:cols w:space="720" w:num="1"/>
          <w:docGrid w:linePitch="331" w:charSpace="0"/>
        </w:sectPr>
      </w:pPr>
    </w:p>
    <w:p>
      <w:pPr>
        <w:pStyle w:val="4"/>
        <w:jc w:val="center"/>
        <w:rPr>
          <w:rFonts w:asciiTheme="minorHAnsi" w:hAnsiTheme="minorHAnsi" w:eastAsiaTheme="minorEastAsia"/>
          <w:color w:val="auto"/>
          <w:highlight w:val="none"/>
        </w:rPr>
      </w:pPr>
      <w:bookmarkStart w:id="181" w:name="_Toc28074"/>
      <w:bookmarkStart w:id="182" w:name="_Toc21368"/>
      <w:bookmarkStart w:id="183" w:name="_Toc18612"/>
      <w:r>
        <w:rPr>
          <w:rFonts w:ascii="Times New Roman" w:hAnsi="Times New Roman" w:cs="Times New Roman"/>
          <w:color w:val="auto"/>
          <w:highlight w:val="none"/>
        </w:rPr>
        <w:t xml:space="preserve">4.3 </w:t>
      </w:r>
      <w:bookmarkEnd w:id="181"/>
      <w:bookmarkEnd w:id="182"/>
      <w:r>
        <w:rPr>
          <w:rFonts w:ascii="Times New Roman" w:hAnsi="Times New Roman" w:cs="Times New Roman"/>
          <w:color w:val="auto"/>
          <w:highlight w:val="none"/>
        </w:rPr>
        <w:t>法定代表人资格证明书</w:t>
      </w:r>
      <w:bookmarkEnd w:id="183"/>
    </w:p>
    <w:p>
      <w:pPr>
        <w:spacing w:line="360" w:lineRule="auto"/>
        <w:jc w:val="center"/>
        <w:rPr>
          <w:rFonts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法定代表人资格证明书</w:t>
      </w:r>
    </w:p>
    <w:p>
      <w:pPr>
        <w:spacing w:line="360" w:lineRule="auto"/>
        <w:jc w:val="center"/>
        <w:rPr>
          <w:rFonts w:ascii="宋体" w:hAnsi="宋体" w:eastAsia="宋体" w:cs="宋体"/>
          <w:b/>
          <w:color w:val="auto"/>
          <w:sz w:val="30"/>
          <w:szCs w:val="30"/>
          <w:highlight w:val="none"/>
        </w:rPr>
      </w:pPr>
    </w:p>
    <w:p>
      <w:pPr>
        <w:spacing w:line="360" w:lineRule="auto"/>
        <w:rPr>
          <w:rFonts w:ascii="宋体"/>
          <w:color w:val="auto"/>
          <w:sz w:val="24"/>
          <w:highlight w:val="none"/>
        </w:rPr>
      </w:pPr>
      <w:r>
        <w:rPr>
          <w:rFonts w:hint="eastAsia" w:ascii="宋体"/>
          <w:color w:val="auto"/>
          <w:sz w:val="24"/>
          <w:highlight w:val="none"/>
        </w:rPr>
        <w:t>供应商名称：</w:t>
      </w:r>
    </w:p>
    <w:p>
      <w:pPr>
        <w:spacing w:line="360" w:lineRule="auto"/>
        <w:rPr>
          <w:rFonts w:ascii="宋体"/>
          <w:color w:val="auto"/>
          <w:sz w:val="24"/>
          <w:highlight w:val="none"/>
        </w:rPr>
      </w:pPr>
      <w:r>
        <w:rPr>
          <w:rFonts w:hint="eastAsia" w:ascii="宋体"/>
          <w:color w:val="auto"/>
          <w:sz w:val="24"/>
          <w:highlight w:val="none"/>
        </w:rPr>
        <w:t>单位性质：</w:t>
      </w:r>
    </w:p>
    <w:p>
      <w:pPr>
        <w:spacing w:line="360" w:lineRule="auto"/>
        <w:rPr>
          <w:rFonts w:ascii="宋体"/>
          <w:color w:val="auto"/>
          <w:sz w:val="24"/>
          <w:highlight w:val="none"/>
        </w:rPr>
      </w:pPr>
      <w:r>
        <w:rPr>
          <w:rFonts w:hint="eastAsia" w:ascii="宋体"/>
          <w:color w:val="auto"/>
          <w:sz w:val="24"/>
          <w:highlight w:val="none"/>
        </w:rPr>
        <w:t>成立时间：   年   月    日</w:t>
      </w:r>
    </w:p>
    <w:p>
      <w:pPr>
        <w:spacing w:line="360" w:lineRule="auto"/>
        <w:rPr>
          <w:rFonts w:ascii="宋体"/>
          <w:color w:val="auto"/>
          <w:sz w:val="24"/>
          <w:highlight w:val="none"/>
        </w:rPr>
      </w:pPr>
      <w:r>
        <w:rPr>
          <w:rFonts w:hint="eastAsia" w:ascii="宋体"/>
          <w:color w:val="auto"/>
          <w:sz w:val="24"/>
          <w:highlight w:val="none"/>
        </w:rPr>
        <w:t>经营期限：</w:t>
      </w:r>
    </w:p>
    <w:p>
      <w:pPr>
        <w:spacing w:line="360" w:lineRule="auto"/>
        <w:rPr>
          <w:rFonts w:ascii="宋体"/>
          <w:color w:val="auto"/>
          <w:sz w:val="24"/>
          <w:highlight w:val="none"/>
        </w:rPr>
      </w:pPr>
      <w:r>
        <w:rPr>
          <w:rFonts w:hint="eastAsia" w:ascii="宋体"/>
          <w:color w:val="auto"/>
          <w:sz w:val="24"/>
          <w:highlight w:val="none"/>
        </w:rPr>
        <w:t>姓名：      性别：     年龄：      职务：</w:t>
      </w:r>
    </w:p>
    <w:p>
      <w:pPr>
        <w:spacing w:line="360" w:lineRule="auto"/>
        <w:rPr>
          <w:rFonts w:ascii="宋体"/>
          <w:color w:val="auto"/>
          <w:sz w:val="24"/>
          <w:highlight w:val="none"/>
        </w:rPr>
      </w:pPr>
      <w:r>
        <w:rPr>
          <w:rFonts w:hint="eastAsia" w:ascii="宋体"/>
          <w:color w:val="auto"/>
          <w:sz w:val="24"/>
          <w:highlight w:val="none"/>
        </w:rPr>
        <w:t>系（供应商名称）的法定代表人</w:t>
      </w:r>
    </w:p>
    <w:p>
      <w:pPr>
        <w:spacing w:line="360" w:lineRule="auto"/>
        <w:ind w:firstLine="480" w:firstLineChars="200"/>
        <w:rPr>
          <w:rFonts w:ascii="宋体"/>
          <w:color w:val="auto"/>
          <w:sz w:val="24"/>
          <w:highlight w:val="none"/>
        </w:rPr>
      </w:pPr>
    </w:p>
    <w:p>
      <w:pPr>
        <w:spacing w:line="360" w:lineRule="auto"/>
        <w:ind w:firstLine="480" w:firstLineChars="200"/>
        <w:rPr>
          <w:rFonts w:ascii="宋体" w:hAnsi="宋体" w:eastAsia="宋体" w:cs="宋体"/>
          <w:color w:val="auto"/>
          <w:sz w:val="24"/>
          <w:highlight w:val="none"/>
        </w:rPr>
      </w:pPr>
      <w:r>
        <w:rPr>
          <w:rFonts w:hint="eastAsia" w:ascii="宋体"/>
          <w:color w:val="auto"/>
          <w:sz w:val="24"/>
          <w:highlight w:val="none"/>
        </w:rPr>
        <w:t>特此证明</w:t>
      </w:r>
    </w:p>
    <w:tbl>
      <w:tblPr>
        <w:tblStyle w:val="22"/>
        <w:tblW w:w="8528" w:type="dxa"/>
        <w:tblInd w:w="0" w:type="dxa"/>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3126" w:hRule="atLeast"/>
        </w:trPr>
        <w:tc>
          <w:tcPr>
            <w:tcW w:w="8528" w:type="dxa"/>
            <w:noWrap/>
            <w:vAlign w:val="center"/>
          </w:tcPr>
          <w:p>
            <w:pPr>
              <w:adjustRightInd w:val="0"/>
              <w:snapToGrid w:val="0"/>
              <w:spacing w:beforeLines="50" w:line="360" w:lineRule="auto"/>
              <w:jc w:val="center"/>
              <w:rPr>
                <w:rFonts w:ascii="宋体" w:hAnsi="宋体" w:eastAsia="宋体" w:cs="宋体"/>
                <w:color w:val="auto"/>
                <w:sz w:val="24"/>
                <w:highlight w:val="none"/>
              </w:rPr>
            </w:pPr>
            <w:r>
              <w:rPr>
                <w:rFonts w:hint="eastAsia" w:ascii="宋体" w:hAnsi="宋体" w:eastAsia="宋体" w:cs="宋体"/>
                <w:color w:val="auto"/>
                <w:sz w:val="24"/>
                <w:highlight w:val="none"/>
              </w:rPr>
              <w:t>法定代表人身份证复印件</w:t>
            </w:r>
          </w:p>
        </w:tc>
      </w:tr>
    </w:tbl>
    <w:p>
      <w:pPr>
        <w:spacing w:line="360" w:lineRule="auto"/>
        <w:rPr>
          <w:rFonts w:ascii="宋体" w:hAnsi="宋体" w:eastAsia="宋体" w:cs="宋体"/>
          <w:color w:val="auto"/>
          <w:sz w:val="24"/>
          <w:highlight w:val="none"/>
        </w:rPr>
      </w:pPr>
      <w:r>
        <w:rPr>
          <w:rFonts w:hint="eastAsia" w:ascii="宋体" w:hAnsi="宋体" w:eastAsia="宋体" w:cs="宋体"/>
          <w:color w:val="auto"/>
          <w:sz w:val="24"/>
          <w:highlight w:val="none"/>
        </w:rPr>
        <w:t>法定代表人身份证复印件（正、反面）</w:t>
      </w:r>
    </w:p>
    <w:p>
      <w:pPr>
        <w:spacing w:line="360" w:lineRule="auto"/>
        <w:rPr>
          <w:rFonts w:ascii="宋体" w:hAnsi="宋体" w:eastAsia="宋体" w:cs="宋体"/>
          <w:color w:val="auto"/>
          <w:sz w:val="24"/>
          <w:highlight w:val="none"/>
        </w:rPr>
      </w:pPr>
    </w:p>
    <w:p>
      <w:pPr>
        <w:spacing w:line="360" w:lineRule="auto"/>
        <w:rPr>
          <w:rFonts w:ascii="宋体"/>
          <w:color w:val="auto"/>
          <w:sz w:val="24"/>
          <w:highlight w:val="none"/>
        </w:rPr>
      </w:pPr>
      <w:r>
        <w:rPr>
          <w:rFonts w:hint="eastAsia" w:ascii="宋体"/>
          <w:color w:val="auto"/>
          <w:sz w:val="24"/>
          <w:highlight w:val="none"/>
        </w:rPr>
        <w:t>供应商：（盖章）</w:t>
      </w:r>
    </w:p>
    <w:p>
      <w:pPr>
        <w:spacing w:line="360" w:lineRule="auto"/>
        <w:rPr>
          <w:rFonts w:ascii="宋体"/>
          <w:color w:val="auto"/>
          <w:sz w:val="24"/>
          <w:highlight w:val="none"/>
        </w:rPr>
      </w:pPr>
    </w:p>
    <w:p>
      <w:pPr>
        <w:spacing w:line="360" w:lineRule="auto"/>
        <w:rPr>
          <w:rFonts w:ascii="宋体" w:hAnsi="宋体" w:eastAsia="宋体" w:cs="宋体"/>
          <w:color w:val="auto"/>
          <w:szCs w:val="21"/>
          <w:highlight w:val="none"/>
        </w:rPr>
      </w:pPr>
      <w:r>
        <w:rPr>
          <w:rFonts w:hint="eastAsia" w:ascii="宋体"/>
          <w:color w:val="auto"/>
          <w:sz w:val="24"/>
          <w:highlight w:val="none"/>
        </w:rPr>
        <w:t>日期：    年   月   日</w:t>
      </w:r>
    </w:p>
    <w:p>
      <w:pPr>
        <w:spacing w:line="360" w:lineRule="auto"/>
        <w:rPr>
          <w:rFonts w:ascii="宋体" w:hAnsi="宋体" w:eastAsia="宋体" w:cs="宋体"/>
          <w:color w:val="auto"/>
          <w:szCs w:val="21"/>
          <w:highlight w:val="none"/>
        </w:rPr>
        <w:sectPr>
          <w:pgSz w:w="11906" w:h="16838"/>
          <w:pgMar w:top="1440" w:right="1588" w:bottom="1440" w:left="1588" w:header="851" w:footer="992" w:gutter="0"/>
          <w:cols w:space="720" w:num="1"/>
          <w:docGrid w:type="lines" w:linePitch="312" w:charSpace="0"/>
        </w:sectPr>
      </w:pPr>
    </w:p>
    <w:p>
      <w:pPr>
        <w:pStyle w:val="4"/>
        <w:jc w:val="center"/>
        <w:rPr>
          <w:rFonts w:ascii="Times New Roman" w:hAnsi="Times New Roman" w:eastAsia="宋体" w:cs="Times New Roman"/>
          <w:b w:val="0"/>
          <w:color w:val="auto"/>
          <w:highlight w:val="none"/>
        </w:rPr>
      </w:pPr>
      <w:bookmarkStart w:id="184" w:name="_Toc14835"/>
      <w:bookmarkStart w:id="185" w:name="_Toc13125"/>
      <w:r>
        <w:rPr>
          <w:rFonts w:ascii="Times New Roman" w:hAnsi="Times New Roman" w:cs="Times New Roman"/>
          <w:color w:val="auto"/>
          <w:highlight w:val="none"/>
        </w:rPr>
        <w:t>4.4 法定代表人授权委托书</w:t>
      </w:r>
      <w:bookmarkEnd w:id="184"/>
      <w:bookmarkEnd w:id="185"/>
    </w:p>
    <w:p>
      <w:pPr>
        <w:spacing w:line="360" w:lineRule="auto"/>
        <w:jc w:val="center"/>
        <w:rPr>
          <w:rFonts w:ascii="宋体" w:hAnsi="宋体" w:eastAsia="宋体" w:cs="宋体"/>
          <w:b/>
          <w:bCs/>
          <w:color w:val="auto"/>
          <w:sz w:val="28"/>
          <w:szCs w:val="28"/>
          <w:highlight w:val="none"/>
        </w:rPr>
      </w:pPr>
    </w:p>
    <w:p>
      <w:pPr>
        <w:spacing w:line="360" w:lineRule="auto"/>
        <w:jc w:val="center"/>
        <w:rPr>
          <w:rFonts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法定代表人授权委托书</w:t>
      </w:r>
    </w:p>
    <w:p>
      <w:pPr>
        <w:spacing w:line="360" w:lineRule="auto"/>
        <w:rPr>
          <w:rFonts w:ascii="宋体"/>
          <w:b/>
          <w:bCs/>
          <w:color w:val="auto"/>
          <w:sz w:val="24"/>
          <w:highlight w:val="none"/>
        </w:rPr>
      </w:pPr>
      <w:r>
        <w:rPr>
          <w:rFonts w:hint="eastAsia" w:ascii="宋体"/>
          <w:color w:val="auto"/>
          <w:sz w:val="24"/>
          <w:highlight w:val="none"/>
        </w:rPr>
        <w:t>致：</w:t>
      </w:r>
      <w:r>
        <w:rPr>
          <w:rFonts w:hint="eastAsia" w:ascii="宋体"/>
          <w:color w:val="auto"/>
          <w:sz w:val="24"/>
          <w:highlight w:val="none"/>
          <w:u w:val="single"/>
        </w:rPr>
        <w:t xml:space="preserve">    （采购人）         </w:t>
      </w:r>
    </w:p>
    <w:p>
      <w:pPr>
        <w:spacing w:line="360" w:lineRule="auto"/>
        <w:ind w:firstLine="480" w:firstLineChars="200"/>
        <w:rPr>
          <w:rFonts w:ascii="宋体"/>
          <w:color w:val="auto"/>
          <w:sz w:val="24"/>
          <w:highlight w:val="none"/>
        </w:rPr>
      </w:pPr>
      <w:r>
        <w:rPr>
          <w:rFonts w:hint="eastAsia" w:ascii="宋体"/>
          <w:color w:val="auto"/>
          <w:sz w:val="24"/>
          <w:highlight w:val="none"/>
        </w:rPr>
        <w:t>本授权书声明：</w:t>
      </w:r>
      <w:r>
        <w:rPr>
          <w:rFonts w:hint="eastAsia" w:ascii="宋体"/>
          <w:color w:val="auto"/>
          <w:sz w:val="24"/>
          <w:highlight w:val="none"/>
          <w:u w:val="single"/>
        </w:rPr>
        <w:t xml:space="preserve">       （供应商全称）     </w:t>
      </w:r>
      <w:r>
        <w:rPr>
          <w:rFonts w:hint="eastAsia" w:ascii="宋体"/>
          <w:color w:val="auto"/>
          <w:sz w:val="24"/>
          <w:highlight w:val="none"/>
        </w:rPr>
        <w:t xml:space="preserve">的法定代表人代表本公司授权   </w:t>
      </w:r>
      <w:r>
        <w:rPr>
          <w:rFonts w:hint="eastAsia" w:ascii="宋体"/>
          <w:color w:val="auto"/>
          <w:sz w:val="24"/>
          <w:highlight w:val="none"/>
          <w:u w:val="single"/>
        </w:rPr>
        <w:t xml:space="preserve">（委托代理人姓名）   </w:t>
      </w:r>
      <w:r>
        <w:rPr>
          <w:rFonts w:hint="eastAsia" w:ascii="宋体"/>
          <w:color w:val="auto"/>
          <w:sz w:val="24"/>
          <w:highlight w:val="none"/>
        </w:rPr>
        <w:t>为本公司合法代理人，就贵方组织的有关</w:t>
      </w:r>
      <w:r>
        <w:rPr>
          <w:rFonts w:hint="eastAsia" w:ascii="宋体"/>
          <w:color w:val="auto"/>
          <w:sz w:val="24"/>
          <w:highlight w:val="none"/>
          <w:u w:val="single"/>
        </w:rPr>
        <w:t xml:space="preserve">    （采购项目名称）      </w:t>
      </w:r>
      <w:r>
        <w:rPr>
          <w:rFonts w:hint="eastAsia" w:ascii="宋体"/>
          <w:color w:val="auto"/>
          <w:sz w:val="24"/>
          <w:highlight w:val="none"/>
        </w:rPr>
        <w:t>项目的磋商，以本单位名义磋商。代理人在本项目磋商过程中所签署的一切文件和处理与之有关的一切事务，我方均予承认。</w:t>
      </w:r>
    </w:p>
    <w:p>
      <w:pPr>
        <w:adjustRightInd w:val="0"/>
        <w:snapToGrid w:val="0"/>
        <w:spacing w:beforeLines="50" w:line="360" w:lineRule="auto"/>
        <w:ind w:firstLine="435"/>
        <w:rPr>
          <w:rFonts w:ascii="宋体" w:hAnsi="宋体" w:eastAsia="宋体" w:cs="宋体"/>
          <w:color w:val="auto"/>
          <w:kern w:val="0"/>
          <w:sz w:val="24"/>
          <w:highlight w:val="none"/>
        </w:rPr>
      </w:pPr>
      <w:r>
        <w:rPr>
          <w:rFonts w:hint="eastAsia" w:ascii="宋体"/>
          <w:color w:val="auto"/>
          <w:sz w:val="24"/>
          <w:highlight w:val="none"/>
        </w:rPr>
        <w:t>代理人无转委托权。</w:t>
      </w:r>
    </w:p>
    <w:p>
      <w:pPr>
        <w:adjustRightInd w:val="0"/>
        <w:snapToGrid w:val="0"/>
        <w:spacing w:beforeLines="50" w:line="360" w:lineRule="auto"/>
        <w:ind w:firstLine="435"/>
        <w:rPr>
          <w:rFonts w:ascii="宋体" w:hAnsi="宋体" w:eastAsia="宋体" w:cs="宋体"/>
          <w:color w:val="auto"/>
          <w:szCs w:val="21"/>
          <w:highlight w:val="none"/>
        </w:rPr>
      </w:pPr>
      <w:r>
        <w:rPr>
          <w:rFonts w:hint="eastAsia" w:ascii="宋体" w:hAnsi="宋体" w:eastAsia="宋体" w:cs="宋体"/>
          <w:color w:val="auto"/>
          <w:sz w:val="24"/>
          <w:highlight w:val="none"/>
        </w:rPr>
        <w:t>本授权书于年月日签字生效，特此声明。</w:t>
      </w:r>
    </w:p>
    <w:tbl>
      <w:tblPr>
        <w:tblStyle w:val="22"/>
        <w:tblW w:w="8528" w:type="dxa"/>
        <w:tblInd w:w="0" w:type="dxa"/>
        <w:tblLayout w:type="fixed"/>
        <w:tblCellMar>
          <w:top w:w="0" w:type="dxa"/>
          <w:left w:w="108" w:type="dxa"/>
          <w:bottom w:w="0" w:type="dxa"/>
          <w:right w:w="108" w:type="dxa"/>
        </w:tblCellMar>
      </w:tblPr>
      <w:tblGrid>
        <w:gridCol w:w="8528"/>
      </w:tblGrid>
      <w:tr>
        <w:tblPrEx>
          <w:tblCellMar>
            <w:top w:w="0" w:type="dxa"/>
            <w:left w:w="108" w:type="dxa"/>
            <w:bottom w:w="0" w:type="dxa"/>
            <w:right w:w="108" w:type="dxa"/>
          </w:tblCellMar>
        </w:tblPrEx>
        <w:trPr>
          <w:trHeight w:val="2996" w:hRule="atLeast"/>
        </w:trPr>
        <w:tc>
          <w:tcPr>
            <w:tcW w:w="8528" w:type="dxa"/>
            <w:noWrap/>
            <w:vAlign w:val="center"/>
          </w:tcPr>
          <w:p>
            <w:pPr>
              <w:adjustRightInd w:val="0"/>
              <w:snapToGrid w:val="0"/>
              <w:spacing w:beforeLines="50" w:line="360" w:lineRule="auto"/>
              <w:jc w:val="center"/>
              <w:rPr>
                <w:rFonts w:ascii="宋体" w:hAnsi="宋体" w:eastAsia="宋体" w:cs="宋体"/>
                <w:color w:val="auto"/>
                <w:szCs w:val="21"/>
                <w:highlight w:val="none"/>
              </w:rPr>
            </w:pPr>
            <w:r>
              <w:rPr>
                <w:rFonts w:hint="eastAsia" w:ascii="宋体" w:hAnsi="宋体" w:eastAsia="宋体" w:cs="宋体"/>
                <w:color w:val="auto"/>
                <w:szCs w:val="21"/>
                <w:highlight w:val="none"/>
              </w:rPr>
              <w:t>委托代理人身份证复印件</w:t>
            </w:r>
          </w:p>
        </w:tc>
      </w:tr>
    </w:tbl>
    <w:p>
      <w:pPr>
        <w:spacing w:line="360" w:lineRule="auto"/>
        <w:rPr>
          <w:rFonts w:ascii="宋体" w:hAnsi="Times New Roman" w:eastAsia="宋体" w:cs="Times New Roman"/>
          <w:color w:val="auto"/>
          <w:sz w:val="24"/>
          <w:highlight w:val="none"/>
        </w:rPr>
      </w:pPr>
      <w:r>
        <w:rPr>
          <w:rFonts w:hint="eastAsia" w:ascii="宋体" w:hAnsi="Times New Roman" w:eastAsia="宋体" w:cs="Times New Roman"/>
          <w:color w:val="auto"/>
          <w:sz w:val="24"/>
          <w:highlight w:val="none"/>
        </w:rPr>
        <w:t>供  应  商：（盖章）</w:t>
      </w:r>
    </w:p>
    <w:p>
      <w:pPr>
        <w:spacing w:line="360" w:lineRule="auto"/>
        <w:rPr>
          <w:rFonts w:ascii="宋体" w:hAnsi="Times New Roman" w:eastAsia="宋体" w:cs="Times New Roman"/>
          <w:color w:val="auto"/>
          <w:sz w:val="24"/>
          <w:highlight w:val="none"/>
        </w:rPr>
      </w:pPr>
      <w:r>
        <w:rPr>
          <w:rFonts w:hint="eastAsia" w:ascii="宋体" w:hAnsi="Times New Roman" w:eastAsia="宋体" w:cs="Times New Roman"/>
          <w:color w:val="auto"/>
          <w:sz w:val="24"/>
          <w:highlight w:val="none"/>
        </w:rPr>
        <w:t>法定代表人：（签字或盖章）</w:t>
      </w:r>
    </w:p>
    <w:p>
      <w:pPr>
        <w:spacing w:line="360" w:lineRule="auto"/>
        <w:rPr>
          <w:rFonts w:ascii="宋体" w:hAnsi="Times New Roman" w:eastAsia="宋体" w:cs="Times New Roman"/>
          <w:color w:val="auto"/>
          <w:sz w:val="24"/>
          <w:highlight w:val="none"/>
        </w:rPr>
      </w:pPr>
      <w:r>
        <w:rPr>
          <w:rFonts w:hint="eastAsia" w:ascii="宋体" w:hAnsi="Times New Roman" w:eastAsia="宋体" w:cs="Times New Roman"/>
          <w:color w:val="auto"/>
          <w:sz w:val="24"/>
          <w:highlight w:val="none"/>
        </w:rPr>
        <w:t>身份证号码：</w:t>
      </w:r>
    </w:p>
    <w:p>
      <w:pPr>
        <w:spacing w:line="360" w:lineRule="auto"/>
        <w:rPr>
          <w:rFonts w:ascii="宋体" w:hAnsi="Times New Roman" w:eastAsia="宋体" w:cs="Times New Roman"/>
          <w:color w:val="auto"/>
          <w:sz w:val="24"/>
          <w:highlight w:val="none"/>
        </w:rPr>
      </w:pPr>
      <w:r>
        <w:rPr>
          <w:rFonts w:hint="eastAsia" w:ascii="宋体" w:hAnsi="宋体" w:eastAsia="宋体" w:cs="宋体"/>
          <w:color w:val="auto"/>
          <w:sz w:val="24"/>
          <w:highlight w:val="none"/>
        </w:rPr>
        <w:t>联系电话：</w:t>
      </w:r>
    </w:p>
    <w:p>
      <w:pPr>
        <w:spacing w:line="360" w:lineRule="auto"/>
        <w:rPr>
          <w:rFonts w:ascii="宋体" w:hAnsi="Times New Roman" w:eastAsia="宋体" w:cs="Times New Roman"/>
          <w:color w:val="auto"/>
          <w:sz w:val="24"/>
          <w:highlight w:val="none"/>
        </w:rPr>
      </w:pPr>
      <w:r>
        <w:rPr>
          <w:rFonts w:hint="eastAsia" w:ascii="宋体" w:hAnsi="Times New Roman" w:eastAsia="宋体" w:cs="Times New Roman"/>
          <w:color w:val="auto"/>
          <w:sz w:val="24"/>
          <w:highlight w:val="none"/>
        </w:rPr>
        <w:t>委托代理人：（签字或盖章）</w:t>
      </w:r>
    </w:p>
    <w:p>
      <w:pPr>
        <w:spacing w:line="360" w:lineRule="auto"/>
        <w:rPr>
          <w:rFonts w:ascii="宋体" w:hAnsi="Times New Roman" w:eastAsia="宋体" w:cs="Times New Roman"/>
          <w:color w:val="auto"/>
          <w:sz w:val="24"/>
          <w:highlight w:val="none"/>
        </w:rPr>
      </w:pPr>
      <w:r>
        <w:rPr>
          <w:rFonts w:hint="eastAsia" w:ascii="宋体" w:hAnsi="Times New Roman" w:eastAsia="宋体" w:cs="Times New Roman"/>
          <w:color w:val="auto"/>
          <w:sz w:val="24"/>
          <w:highlight w:val="none"/>
        </w:rPr>
        <w:t>职      务：</w:t>
      </w:r>
    </w:p>
    <w:p>
      <w:pPr>
        <w:spacing w:line="360" w:lineRule="auto"/>
        <w:rPr>
          <w:rFonts w:ascii="宋体" w:hAnsi="Times New Roman" w:eastAsia="宋体" w:cs="Times New Roman"/>
          <w:color w:val="auto"/>
          <w:sz w:val="24"/>
          <w:highlight w:val="none"/>
        </w:rPr>
      </w:pPr>
      <w:r>
        <w:rPr>
          <w:rFonts w:hint="eastAsia" w:ascii="宋体" w:hAnsi="Times New Roman" w:eastAsia="宋体" w:cs="Times New Roman"/>
          <w:color w:val="auto"/>
          <w:sz w:val="24"/>
          <w:highlight w:val="none"/>
        </w:rPr>
        <w:t>身份证号码：</w:t>
      </w:r>
    </w:p>
    <w:p>
      <w:pPr>
        <w:spacing w:line="360" w:lineRule="auto"/>
        <w:rPr>
          <w:rFonts w:ascii="宋体" w:hAnsi="Times New Roman" w:eastAsia="宋体" w:cs="Times New Roman"/>
          <w:color w:val="auto"/>
          <w:sz w:val="24"/>
          <w:highlight w:val="none"/>
          <w:u w:val="single"/>
        </w:rPr>
      </w:pPr>
      <w:r>
        <w:rPr>
          <w:rFonts w:hint="eastAsia" w:ascii="宋体" w:hAnsi="宋体" w:eastAsia="宋体" w:cs="宋体"/>
          <w:color w:val="auto"/>
          <w:sz w:val="24"/>
          <w:highlight w:val="none"/>
        </w:rPr>
        <w:t>联系电话：</w:t>
      </w:r>
    </w:p>
    <w:p>
      <w:pPr>
        <w:adjustRightInd w:val="0"/>
        <w:snapToGrid w:val="0"/>
        <w:spacing w:beforeLines="50" w:line="360" w:lineRule="auto"/>
        <w:rPr>
          <w:rFonts w:ascii="宋体" w:hAnsi="Times New Roman" w:eastAsia="宋体" w:cs="Times New Roman"/>
          <w:color w:val="auto"/>
          <w:sz w:val="24"/>
          <w:highlight w:val="none"/>
          <w:u w:val="single"/>
        </w:rPr>
      </w:pPr>
      <w:r>
        <w:rPr>
          <w:rFonts w:hint="eastAsia" w:ascii="宋体" w:hAnsi="宋体" w:eastAsia="宋体" w:cs="宋体"/>
          <w:color w:val="auto"/>
          <w:sz w:val="24"/>
          <w:highlight w:val="none"/>
        </w:rPr>
        <w:t>委托代理人详细地址：</w:t>
      </w:r>
    </w:p>
    <w:p>
      <w:pPr>
        <w:adjustRightInd w:val="0"/>
        <w:snapToGrid w:val="0"/>
        <w:spacing w:beforeLines="50" w:line="360" w:lineRule="auto"/>
        <w:rPr>
          <w:rFonts w:ascii="Times New Roman" w:hAnsi="Times New Roman" w:eastAsia="宋体" w:cs="Times New Roman"/>
          <w:color w:val="auto"/>
          <w:highlight w:val="none"/>
        </w:rPr>
      </w:pPr>
      <w:r>
        <w:rPr>
          <w:rFonts w:hint="eastAsia" w:ascii="宋体" w:hAnsi="Times New Roman" w:eastAsia="宋体" w:cs="Times New Roman"/>
          <w:color w:val="auto"/>
          <w:sz w:val="24"/>
          <w:highlight w:val="none"/>
        </w:rPr>
        <w:t>日期：年月日</w:t>
      </w:r>
    </w:p>
    <w:p>
      <w:pPr>
        <w:pStyle w:val="21"/>
        <w:ind w:firstLine="560"/>
        <w:rPr>
          <w:rFonts w:ascii="Times New Roman" w:hAnsi="Times New Roman" w:eastAsia="宋体" w:cs="Times New Roman"/>
          <w:color w:val="auto"/>
          <w:highlight w:val="none"/>
        </w:rPr>
      </w:pPr>
    </w:p>
    <w:p>
      <w:pPr>
        <w:pStyle w:val="21"/>
        <w:ind w:firstLine="560"/>
        <w:rPr>
          <w:rFonts w:ascii="Times New Roman" w:hAnsi="Times New Roman" w:eastAsia="宋体" w:cs="Times New Roman"/>
          <w:color w:val="auto"/>
          <w:highlight w:val="none"/>
        </w:rPr>
        <w:sectPr>
          <w:pgSz w:w="11906" w:h="16838"/>
          <w:pgMar w:top="1418" w:right="1134" w:bottom="1134" w:left="1417" w:header="936" w:footer="720" w:gutter="0"/>
          <w:cols w:space="720" w:num="1"/>
          <w:docGrid w:linePitch="331" w:charSpace="0"/>
        </w:sectPr>
      </w:pPr>
    </w:p>
    <w:p>
      <w:pPr>
        <w:pStyle w:val="4"/>
        <w:jc w:val="center"/>
        <w:rPr>
          <w:rFonts w:ascii="Times New Roman" w:hAnsi="Times New Roman" w:eastAsia="宋体" w:cs="Times New Roman"/>
          <w:color w:val="auto"/>
          <w:highlight w:val="none"/>
        </w:rPr>
      </w:pPr>
      <w:bookmarkStart w:id="186" w:name="_Toc2330"/>
      <w:r>
        <w:rPr>
          <w:rFonts w:ascii="Times New Roman" w:hAnsi="Times New Roman" w:eastAsia="宋体" w:cs="Times New Roman"/>
          <w:color w:val="auto"/>
          <w:highlight w:val="none"/>
        </w:rPr>
        <w:t>4.</w:t>
      </w:r>
      <w:r>
        <w:rPr>
          <w:rFonts w:hint="eastAsia" w:ascii="Times New Roman" w:hAnsi="Times New Roman" w:eastAsia="宋体" w:cs="Times New Roman"/>
          <w:color w:val="auto"/>
          <w:highlight w:val="none"/>
        </w:rPr>
        <w:t>5</w:t>
      </w:r>
      <w:r>
        <w:rPr>
          <w:rFonts w:ascii="Times New Roman" w:hAnsi="Times New Roman" w:eastAsia="宋体" w:cs="Times New Roman"/>
          <w:color w:val="auto"/>
          <w:highlight w:val="none"/>
        </w:rPr>
        <w:t xml:space="preserve"> </w:t>
      </w:r>
      <w:r>
        <w:rPr>
          <w:rFonts w:ascii="Times New Roman" w:hAnsi="Times New Roman" w:cs="Times New Roman"/>
          <w:color w:val="auto"/>
          <w:highlight w:val="none"/>
        </w:rPr>
        <w:t>资格证明文件</w:t>
      </w:r>
      <w:bookmarkEnd w:id="186"/>
    </w:p>
    <w:p>
      <w:pPr>
        <w:rPr>
          <w:color w:val="auto"/>
          <w:highlight w:val="none"/>
        </w:rPr>
      </w:pPr>
    </w:p>
    <w:p>
      <w:pPr>
        <w:ind w:firstLine="480" w:firstLineChars="200"/>
        <w:rPr>
          <w:rFonts w:ascii="Times New Roman" w:hAnsi="Times New Roman" w:cs="Times New Roman"/>
          <w:color w:val="auto"/>
          <w:sz w:val="24"/>
          <w:highlight w:val="none"/>
        </w:rPr>
      </w:pPr>
    </w:p>
    <w:p>
      <w:pPr>
        <w:autoSpaceDE w:val="0"/>
        <w:autoSpaceDN w:val="0"/>
        <w:snapToGrid w:val="0"/>
        <w:spacing w:line="360" w:lineRule="auto"/>
        <w:jc w:val="left"/>
        <w:textAlignment w:val="bottom"/>
        <w:rPr>
          <w:rFonts w:ascii="Times New Roman" w:hAnsi="Times New Roman" w:eastAsia="宋体" w:cs="Times New Roman"/>
          <w:color w:val="auto"/>
          <w:sz w:val="24"/>
          <w:highlight w:val="none"/>
        </w:rPr>
      </w:pPr>
      <w:r>
        <w:rPr>
          <w:rFonts w:ascii="Times New Roman" w:hAnsi="Times New Roman" w:cs="Times New Roman"/>
          <w:color w:val="auto"/>
          <w:sz w:val="24"/>
          <w:highlight w:val="none"/>
        </w:rPr>
        <w:t>1、</w:t>
      </w:r>
      <w:r>
        <w:rPr>
          <w:rFonts w:hint="eastAsia" w:ascii="Times New Roman" w:hAnsi="Times New Roman" w:cs="Times New Roman"/>
          <w:color w:val="auto"/>
          <w:sz w:val="24"/>
          <w:highlight w:val="none"/>
          <w:lang w:val="en-US" w:eastAsia="zh-CN"/>
        </w:rPr>
        <w:t>提供</w:t>
      </w:r>
      <w:r>
        <w:rPr>
          <w:rFonts w:hint="eastAsia" w:ascii="Times New Roman" w:hAnsi="Times New Roman" w:cs="Times New Roman"/>
          <w:color w:val="auto"/>
          <w:sz w:val="24"/>
          <w:highlight w:val="none"/>
        </w:rPr>
        <w:t>满足《中华人民共和国政府采购法》第二十二条规定</w:t>
      </w:r>
      <w:r>
        <w:rPr>
          <w:rFonts w:hint="eastAsia" w:ascii="Times New Roman" w:hAnsi="Times New Roman" w:cs="Times New Roman"/>
          <w:color w:val="auto"/>
          <w:sz w:val="24"/>
          <w:highlight w:val="none"/>
          <w:lang w:val="en-US" w:eastAsia="zh-CN"/>
        </w:rPr>
        <w:t>的</w:t>
      </w:r>
      <w:r>
        <w:rPr>
          <w:rFonts w:hint="eastAsia" w:ascii="Times New Roman" w:hAnsi="Times New Roman" w:cs="Times New Roman"/>
          <w:color w:val="auto"/>
          <w:sz w:val="24"/>
          <w:highlight w:val="none"/>
        </w:rPr>
        <w:t>相关证明材料</w:t>
      </w:r>
      <w:r>
        <w:rPr>
          <w:rFonts w:hint="eastAsia" w:ascii="Times New Roman" w:hAnsi="Times New Roman" w:cs="Times New Roman"/>
          <w:color w:val="auto"/>
          <w:sz w:val="24"/>
          <w:highlight w:val="none"/>
          <w:lang w:eastAsia="zh-CN"/>
        </w:rPr>
        <w:t>；</w:t>
      </w:r>
    </w:p>
    <w:p>
      <w:pPr>
        <w:pStyle w:val="28"/>
        <w:rPr>
          <w:rFonts w:ascii="Times New Roman" w:eastAsia="宋体" w:cs="Times New Roman"/>
          <w:color w:val="auto"/>
          <w:highlight w:val="none"/>
        </w:rPr>
      </w:pPr>
    </w:p>
    <w:p>
      <w:pPr>
        <w:pStyle w:val="28"/>
        <w:rPr>
          <w:rFonts w:ascii="Times New Roman" w:eastAsia="宋体" w:cs="Times New Roman"/>
          <w:color w:val="auto"/>
          <w:highlight w:val="none"/>
        </w:rPr>
      </w:pPr>
      <w:r>
        <w:rPr>
          <w:rFonts w:hint="eastAsia" w:ascii="Times New Roman" w:eastAsia="宋体" w:cs="Times New Roman"/>
          <w:color w:val="auto"/>
          <w:highlight w:val="none"/>
          <w:lang w:val="en-US" w:eastAsia="zh-CN"/>
        </w:rPr>
        <w:t>2</w:t>
      </w:r>
      <w:r>
        <w:rPr>
          <w:rFonts w:hint="eastAsia" w:ascii="Times New Roman" w:eastAsia="宋体" w:cs="Times New Roman"/>
          <w:color w:val="auto"/>
          <w:highlight w:val="none"/>
        </w:rPr>
        <w:t>、根据本项目的特殊要求规定申请人应具备的特定条件：</w:t>
      </w:r>
    </w:p>
    <w:p>
      <w:pPr>
        <w:spacing w:line="460" w:lineRule="exact"/>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（1）供应商须提供认为能够完成项目的相关证照如项目负责人及成员的《健康证》等，如有要求须协助办理《排污许可证》、《卫生许可证》等证照。</w:t>
      </w:r>
    </w:p>
    <w:p>
      <w:pPr>
        <w:spacing w:line="460" w:lineRule="exact"/>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（2）</w:t>
      </w:r>
      <w:r>
        <w:rPr>
          <w:rFonts w:ascii="Times New Roman" w:hAnsi="Times New Roman" w:eastAsia="宋体" w:cs="Times New Roman"/>
          <w:color w:val="auto"/>
          <w:sz w:val="24"/>
          <w:highlight w:val="none"/>
        </w:rPr>
        <w:t>近三年内在经营活动中没有重大违法记录或出现重大质量问题；没有处于被责令停业，投标资格被取消，财产被接管、冻结、破产状态；没有被纳入违约失信企业名单、列为失信被执行人。</w:t>
      </w:r>
    </w:p>
    <w:p>
      <w:pPr>
        <w:spacing w:line="460" w:lineRule="exact"/>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3）供应商在投标截止时间前未被列入“信用中国”网站（www.creditchina.gov.cn）失信被执行人、重大税收违法案件当事人名单、政府采购严重违法失信行为记录名单及中国政府采购网（www.ccgp.gov.cn）“政府采购严重违法失信行为信息记录”（提供查询截图）。若为失信企业，将取消成交资格。</w:t>
      </w:r>
    </w:p>
    <w:p>
      <w:pPr>
        <w:spacing w:line="460" w:lineRule="exact"/>
        <w:ind w:firstLine="480" w:firstLineChars="200"/>
        <w:rPr>
          <w:rFonts w:ascii="Times New Roman" w:hAnsi="Times New Roman" w:eastAsia="宋体" w:cs="Times New Roman"/>
          <w:color w:val="auto"/>
          <w:sz w:val="24"/>
          <w:highlight w:val="none"/>
        </w:rPr>
      </w:pPr>
    </w:p>
    <w:p>
      <w:pPr>
        <w:spacing w:line="460" w:lineRule="exact"/>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参加政府采购活动前3年内在经营活动中没有重大违法记录的书面声明，须提供书面声明并加盖公章；</w:t>
      </w:r>
    </w:p>
    <w:p>
      <w:pPr>
        <w:spacing w:line="360" w:lineRule="auto"/>
        <w:rPr>
          <w:rFonts w:asciiTheme="minorEastAsia" w:hAnsiTheme="minorEastAsia" w:cstheme="minorEastAsia"/>
          <w:color w:val="auto"/>
          <w:sz w:val="24"/>
          <w:highlight w:val="none"/>
        </w:rPr>
      </w:pPr>
    </w:p>
    <w:p>
      <w:pPr>
        <w:spacing w:line="360" w:lineRule="auto"/>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致：</w:t>
      </w:r>
      <w:r>
        <w:rPr>
          <w:rFonts w:hint="eastAsia" w:asciiTheme="minorEastAsia" w:hAnsiTheme="minorEastAsia" w:cstheme="minorEastAsia"/>
          <w:color w:val="auto"/>
          <w:sz w:val="24"/>
          <w:highlight w:val="none"/>
          <w:u w:val="single"/>
        </w:rPr>
        <w:t xml:space="preserve">                        </w:t>
      </w:r>
      <w:r>
        <w:rPr>
          <w:rFonts w:hint="eastAsia" w:asciiTheme="minorEastAsia" w:hAnsiTheme="minorEastAsia" w:cstheme="minorEastAsia"/>
          <w:color w:val="auto"/>
          <w:sz w:val="24"/>
          <w:highlight w:val="none"/>
        </w:rPr>
        <w:t>（采购人名称）：</w:t>
      </w:r>
    </w:p>
    <w:p>
      <w:pPr>
        <w:spacing w:line="360" w:lineRule="auto"/>
        <w:rPr>
          <w:rFonts w:asciiTheme="minorEastAsia" w:hAnsiTheme="minorEastAsia" w:cstheme="minorEastAsia"/>
          <w:color w:val="auto"/>
          <w:sz w:val="24"/>
          <w:highlight w:val="none"/>
        </w:rPr>
      </w:pPr>
    </w:p>
    <w:p>
      <w:pPr>
        <w:spacing w:line="360" w:lineRule="auto"/>
        <w:ind w:firstLine="480" w:firstLineChars="200"/>
        <w:rPr>
          <w:rFonts w:asciiTheme="minorEastAsia" w:hAnsiTheme="minorEastAsia" w:cstheme="minorEastAsia"/>
          <w:color w:val="auto"/>
          <w:highlight w:val="none"/>
        </w:rPr>
      </w:pPr>
      <w:r>
        <w:rPr>
          <w:rFonts w:hint="eastAsia" w:asciiTheme="minorEastAsia" w:hAnsiTheme="minorEastAsia" w:cstheme="minorEastAsia"/>
          <w:color w:val="auto"/>
          <w:sz w:val="24"/>
          <w:highlight w:val="none"/>
        </w:rPr>
        <w:t>（自行承诺及说明，内容自拟）</w:t>
      </w:r>
    </w:p>
    <w:p>
      <w:pPr>
        <w:spacing w:line="360" w:lineRule="auto"/>
        <w:ind w:right="24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响应人单位名称：</w:t>
      </w:r>
      <w:r>
        <w:rPr>
          <w:rFonts w:hint="eastAsia" w:asciiTheme="minorEastAsia" w:hAnsiTheme="minorEastAsia" w:cstheme="minorEastAsia"/>
          <w:color w:val="auto"/>
          <w:sz w:val="24"/>
          <w:highlight w:val="none"/>
          <w:u w:val="single"/>
        </w:rPr>
        <w:t>___________________________</w:t>
      </w:r>
      <w:r>
        <w:rPr>
          <w:rFonts w:hint="eastAsia" w:asciiTheme="minorEastAsia" w:hAnsiTheme="minorEastAsia" w:cstheme="minorEastAsia"/>
          <w:color w:val="auto"/>
          <w:sz w:val="24"/>
          <w:highlight w:val="none"/>
        </w:rPr>
        <w:t xml:space="preserve">（盖公章） </w:t>
      </w:r>
    </w:p>
    <w:p>
      <w:pPr>
        <w:spacing w:line="360" w:lineRule="auto"/>
        <w:ind w:firstLine="480" w:firstLineChars="200"/>
        <w:jc w:val="right"/>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 xml:space="preserve"> </w:t>
      </w:r>
    </w:p>
    <w:p>
      <w:pPr>
        <w:spacing w:line="360" w:lineRule="auto"/>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法定代表人或其委托代理人：</w:t>
      </w:r>
      <w:r>
        <w:rPr>
          <w:rFonts w:hint="eastAsia" w:asciiTheme="minorEastAsia" w:hAnsiTheme="minorEastAsia" w:cstheme="minorEastAsia"/>
          <w:color w:val="auto"/>
          <w:sz w:val="24"/>
          <w:highlight w:val="none"/>
          <w:u w:val="single"/>
        </w:rPr>
        <w:t>__________</w:t>
      </w:r>
      <w:r>
        <w:rPr>
          <w:rFonts w:hint="eastAsia" w:asciiTheme="minorEastAsia" w:hAnsiTheme="minorEastAsia" w:cstheme="minorEastAsia"/>
          <w:color w:val="auto"/>
          <w:sz w:val="24"/>
          <w:highlight w:val="none"/>
        </w:rPr>
        <w:t xml:space="preserve">（签字或盖章） </w:t>
      </w:r>
    </w:p>
    <w:p>
      <w:pPr>
        <w:pStyle w:val="28"/>
        <w:rPr>
          <w:rFonts w:ascii="Times New Roman" w:eastAsia="宋体" w:cs="Times New Roman"/>
          <w:color w:val="auto"/>
          <w:highlight w:val="none"/>
        </w:rPr>
      </w:pPr>
      <w:r>
        <w:rPr>
          <w:rFonts w:hint="eastAsia" w:asciiTheme="minorEastAsia" w:hAnsiTheme="minorEastAsia" w:eastAsiaTheme="minorEastAsia" w:cstheme="minorEastAsia"/>
          <w:color w:val="auto"/>
          <w:highlight w:val="none"/>
          <w:u w:val="single"/>
        </w:rPr>
        <w:t>_________</w:t>
      </w:r>
      <w:r>
        <w:rPr>
          <w:rFonts w:hint="eastAsia" w:asciiTheme="minorEastAsia" w:hAnsiTheme="minorEastAsia" w:eastAsiaTheme="minorEastAsia" w:cstheme="minorEastAsia"/>
          <w:color w:val="auto"/>
          <w:highlight w:val="none"/>
        </w:rPr>
        <w:t>年</w:t>
      </w:r>
      <w:r>
        <w:rPr>
          <w:rFonts w:hint="eastAsia" w:asciiTheme="minorEastAsia" w:hAnsiTheme="minorEastAsia" w:eastAsiaTheme="minorEastAsia" w:cstheme="minorEastAsia"/>
          <w:color w:val="auto"/>
          <w:highlight w:val="none"/>
          <w:u w:val="single"/>
        </w:rPr>
        <w:t>______</w:t>
      </w:r>
      <w:r>
        <w:rPr>
          <w:rFonts w:hint="eastAsia" w:asciiTheme="minorEastAsia" w:hAnsiTheme="minorEastAsia" w:eastAsiaTheme="minorEastAsia" w:cstheme="minorEastAsia"/>
          <w:color w:val="auto"/>
          <w:highlight w:val="none"/>
        </w:rPr>
        <w:t>月</w:t>
      </w:r>
      <w:r>
        <w:rPr>
          <w:rFonts w:hint="eastAsia" w:asciiTheme="minorEastAsia" w:hAnsiTheme="minorEastAsia" w:eastAsiaTheme="minorEastAsia" w:cstheme="minorEastAsia"/>
          <w:color w:val="auto"/>
          <w:highlight w:val="none"/>
          <w:u w:val="single"/>
        </w:rPr>
        <w:t>______</w:t>
      </w:r>
      <w:r>
        <w:rPr>
          <w:rFonts w:hint="eastAsia" w:asciiTheme="minorEastAsia" w:hAnsiTheme="minorEastAsia" w:eastAsiaTheme="minorEastAsia" w:cstheme="minorEastAsia"/>
          <w:color w:val="auto"/>
          <w:highlight w:val="none"/>
        </w:rPr>
        <w:t>日</w:t>
      </w:r>
    </w:p>
    <w:p>
      <w:pPr>
        <w:pStyle w:val="28"/>
        <w:rPr>
          <w:rFonts w:ascii="Times New Roman" w:eastAsia="宋体" w:cs="Times New Roman"/>
          <w:color w:val="auto"/>
          <w:highlight w:val="none"/>
        </w:rPr>
      </w:pPr>
    </w:p>
    <w:p>
      <w:pPr>
        <w:pStyle w:val="28"/>
        <w:rPr>
          <w:rFonts w:ascii="Times New Roman" w:eastAsia="宋体" w:cs="Times New Roman"/>
          <w:color w:val="auto"/>
          <w:highlight w:val="none"/>
        </w:rPr>
      </w:pPr>
    </w:p>
    <w:p>
      <w:pPr>
        <w:rPr>
          <w:rFonts w:ascii="Times New Roman" w:hAnsi="Times New Roman" w:cs="Times New Roman"/>
          <w:color w:val="auto"/>
          <w:sz w:val="24"/>
          <w:highlight w:val="none"/>
        </w:rPr>
      </w:pPr>
    </w:p>
    <w:p>
      <w:pPr>
        <w:pStyle w:val="2"/>
        <w:rPr>
          <w:color w:val="auto"/>
          <w:highlight w:val="none"/>
        </w:rPr>
        <w:sectPr>
          <w:pgSz w:w="11906" w:h="16838"/>
          <w:pgMar w:top="1440" w:right="1588" w:bottom="1440" w:left="1588" w:header="851" w:footer="992" w:gutter="0"/>
          <w:cols w:space="720" w:num="1"/>
          <w:docGrid w:type="lines" w:linePitch="312" w:charSpace="0"/>
        </w:sectPr>
      </w:pPr>
    </w:p>
    <w:p>
      <w:pPr>
        <w:pStyle w:val="4"/>
        <w:jc w:val="center"/>
        <w:rPr>
          <w:rFonts w:ascii="宋体" w:hAnsi="宋体" w:eastAsia="宋体" w:cs="宋体"/>
          <w:bCs/>
          <w:color w:val="auto"/>
          <w:szCs w:val="28"/>
          <w:highlight w:val="none"/>
        </w:rPr>
      </w:pPr>
      <w:bookmarkStart w:id="187" w:name="_Toc305"/>
      <w:r>
        <w:rPr>
          <w:rFonts w:ascii="Times New Roman" w:hAnsi="Times New Roman" w:cs="Times New Roman"/>
          <w:color w:val="auto"/>
          <w:highlight w:val="none"/>
        </w:rPr>
        <w:t>4.</w:t>
      </w:r>
      <w:r>
        <w:rPr>
          <w:rFonts w:hint="eastAsia" w:ascii="Times New Roman" w:hAnsi="Times New Roman" w:cs="Times New Roman"/>
          <w:color w:val="auto"/>
          <w:highlight w:val="none"/>
        </w:rPr>
        <w:t xml:space="preserve">6 </w:t>
      </w:r>
      <w:r>
        <w:rPr>
          <w:rFonts w:hint="eastAsia" w:ascii="Times New Roman" w:hAnsi="Times New Roman" w:eastAsia="宋体" w:cs="Times New Roman"/>
          <w:color w:val="auto"/>
          <w:highlight w:val="none"/>
        </w:rPr>
        <w:t>实施方案</w:t>
      </w:r>
      <w:bookmarkEnd w:id="187"/>
    </w:p>
    <w:p>
      <w:pPr>
        <w:jc w:val="center"/>
        <w:rPr>
          <w:b/>
          <w:bCs/>
          <w:color w:val="auto"/>
          <w:sz w:val="28"/>
          <w:szCs w:val="28"/>
          <w:highlight w:val="none"/>
        </w:rPr>
      </w:pPr>
    </w:p>
    <w:p>
      <w:pPr>
        <w:rPr>
          <w:color w:val="auto"/>
          <w:highlight w:val="none"/>
        </w:rPr>
      </w:pPr>
      <w:r>
        <w:rPr>
          <w:rFonts w:hint="eastAsia" w:ascii="Times New Roman" w:hAnsi="Times New Roman" w:eastAsia="宋体" w:cs="Times New Roman"/>
          <w:color w:val="auto"/>
          <w:sz w:val="24"/>
          <w:highlight w:val="none"/>
        </w:rPr>
        <w:t>此部分内容由申请人根据竞争性磋商文件要求及自身实际情况自行编写，格式自拟。</w:t>
      </w:r>
    </w:p>
    <w:p>
      <w:pPr>
        <w:rPr>
          <w:rFonts w:hint="default" w:ascii="Times New Roman" w:hAnsi="Times New Roman" w:eastAsia="宋体" w:cs="Times New Roman"/>
          <w:color w:val="auto"/>
          <w:sz w:val="24"/>
          <w:highlight w:val="none"/>
          <w:lang w:val="en-US" w:eastAsia="zh-CN"/>
        </w:rPr>
      </w:pPr>
      <w:r>
        <w:rPr>
          <w:rFonts w:hint="eastAsia" w:ascii="Times New Roman" w:hAnsi="Times New Roman" w:eastAsia="宋体" w:cs="Times New Roman"/>
          <w:color w:val="auto"/>
          <w:sz w:val="24"/>
          <w:highlight w:val="none"/>
          <w:lang w:val="en-US" w:eastAsia="zh-CN"/>
        </w:rPr>
        <w:t>须包括但不限于以下内容：</w:t>
      </w:r>
      <w:r>
        <w:rPr>
          <w:rFonts w:hint="eastAsia" w:ascii="Times New Roman" w:hAnsi="Times New Roman" w:eastAsia="宋体" w:cs="Times New Roman"/>
          <w:color w:val="auto"/>
          <w:sz w:val="24"/>
          <w:highlight w:val="none"/>
        </w:rPr>
        <w:t>我校食堂餐具洗消间的运行及损耗</w:t>
      </w:r>
      <w:r>
        <w:rPr>
          <w:rFonts w:hint="eastAsia" w:ascii="Times New Roman" w:hAnsi="Times New Roman" w:eastAsia="宋体" w:cs="Times New Roman"/>
          <w:color w:val="auto"/>
          <w:sz w:val="24"/>
          <w:highlight w:val="none"/>
          <w:lang w:val="en-US" w:eastAsia="zh-CN"/>
        </w:rPr>
        <w:t>情况中各块内容的</w:t>
      </w:r>
      <w:r>
        <w:rPr>
          <w:rFonts w:hint="eastAsia" w:ascii="Times New Roman" w:hAnsi="Times New Roman" w:eastAsia="宋体" w:cs="Times New Roman"/>
          <w:color w:val="auto"/>
          <w:sz w:val="24"/>
          <w:highlight w:val="none"/>
        </w:rPr>
        <w:t>成本核算</w:t>
      </w:r>
      <w:r>
        <w:rPr>
          <w:rFonts w:hint="eastAsia" w:ascii="Times New Roman" w:hAnsi="Times New Roman" w:eastAsia="宋体" w:cs="Times New Roman"/>
          <w:color w:val="auto"/>
          <w:sz w:val="24"/>
          <w:highlight w:val="none"/>
          <w:lang w:val="en-US" w:eastAsia="zh-CN"/>
        </w:rPr>
        <w:t>明细等。</w:t>
      </w:r>
    </w:p>
    <w:p>
      <w:pPr>
        <w:rPr>
          <w:rFonts w:ascii="宋体" w:hAnsi="宋体" w:eastAsia="宋体" w:cs="Times New Roman"/>
          <w:b/>
          <w:bCs/>
          <w:color w:val="auto"/>
          <w:sz w:val="32"/>
          <w:szCs w:val="32"/>
          <w:highlight w:val="none"/>
        </w:rPr>
      </w:pPr>
    </w:p>
    <w:p>
      <w:pPr>
        <w:spacing w:line="360" w:lineRule="auto"/>
        <w:ind w:firstLine="2" w:firstLineChars="1"/>
        <w:jc w:val="left"/>
        <w:rPr>
          <w:rFonts w:ascii="宋体" w:hAnsi="宋体" w:eastAsia="宋体" w:cs="宋体"/>
          <w:color w:val="auto"/>
          <w:sz w:val="24"/>
          <w:highlight w:val="none"/>
        </w:rPr>
      </w:pPr>
    </w:p>
    <w:p>
      <w:pPr>
        <w:spacing w:line="360" w:lineRule="auto"/>
        <w:ind w:firstLine="2" w:firstLineChars="1"/>
        <w:jc w:val="left"/>
        <w:rPr>
          <w:rFonts w:ascii="宋体" w:hAnsi="宋体" w:eastAsia="宋体" w:cs="宋体"/>
          <w:color w:val="auto"/>
          <w:sz w:val="24"/>
          <w:highlight w:val="none"/>
        </w:rPr>
      </w:pPr>
      <w:r>
        <w:rPr>
          <w:rFonts w:hint="eastAsia" w:ascii="宋体" w:hAnsi="宋体" w:eastAsia="宋体" w:cs="宋体"/>
          <w:color w:val="auto"/>
          <w:sz w:val="24"/>
          <w:highlight w:val="none"/>
        </w:rPr>
        <w:t>供应商：（盖单位公章）</w:t>
      </w:r>
    </w:p>
    <w:p>
      <w:pPr>
        <w:spacing w:line="360" w:lineRule="auto"/>
        <w:ind w:firstLine="2" w:firstLineChars="1"/>
        <w:jc w:val="left"/>
        <w:rPr>
          <w:rFonts w:ascii="宋体" w:hAnsi="宋体" w:eastAsia="宋体" w:cs="宋体"/>
          <w:color w:val="auto"/>
          <w:sz w:val="24"/>
          <w:highlight w:val="none"/>
        </w:rPr>
      </w:pPr>
      <w:r>
        <w:rPr>
          <w:rFonts w:hint="eastAsia" w:ascii="宋体" w:hAnsi="宋体" w:eastAsia="宋体" w:cs="宋体"/>
          <w:color w:val="auto"/>
          <w:sz w:val="24"/>
          <w:highlight w:val="none"/>
        </w:rPr>
        <w:t>法定代表人（负责人）或委托代理人：（签字或盖章）</w:t>
      </w:r>
    </w:p>
    <w:p>
      <w:pPr>
        <w:pStyle w:val="28"/>
        <w:rPr>
          <w:rFonts w:ascii="宋体" w:hAnsi="宋体" w:eastAsia="宋体" w:cs="宋体"/>
          <w:color w:val="auto"/>
          <w:highlight w:val="none"/>
        </w:rPr>
      </w:pPr>
      <w:r>
        <w:rPr>
          <w:rFonts w:hint="eastAsia" w:ascii="宋体" w:hAnsi="宋体" w:eastAsia="宋体" w:cs="宋体"/>
          <w:color w:val="auto"/>
          <w:highlight w:val="none"/>
        </w:rPr>
        <w:t>日期：    年    月    日</w:t>
      </w:r>
    </w:p>
    <w:p>
      <w:pPr>
        <w:pStyle w:val="28"/>
        <w:rPr>
          <w:rFonts w:ascii="宋体" w:hAnsi="宋体" w:eastAsia="宋体" w:cs="宋体"/>
          <w:color w:val="auto"/>
          <w:highlight w:val="none"/>
        </w:rPr>
        <w:sectPr>
          <w:pgSz w:w="11906" w:h="16838"/>
          <w:pgMar w:top="1440" w:right="1588" w:bottom="1440" w:left="1588" w:header="851" w:footer="992" w:gutter="0"/>
          <w:cols w:space="720" w:num="1"/>
          <w:docGrid w:type="lines" w:linePitch="312" w:charSpace="0"/>
        </w:sectPr>
      </w:pPr>
    </w:p>
    <w:p>
      <w:pPr>
        <w:pStyle w:val="4"/>
        <w:jc w:val="center"/>
        <w:rPr>
          <w:color w:val="auto"/>
          <w:highlight w:val="none"/>
        </w:rPr>
      </w:pPr>
      <w:bookmarkStart w:id="188" w:name="_Toc15771"/>
      <w:r>
        <w:rPr>
          <w:rFonts w:ascii="Times New Roman" w:hAnsi="Times New Roman" w:eastAsia="宋体" w:cs="Times New Roman"/>
          <w:color w:val="auto"/>
          <w:highlight w:val="none"/>
        </w:rPr>
        <w:t>4.</w:t>
      </w:r>
      <w:r>
        <w:rPr>
          <w:rFonts w:hint="eastAsia" w:ascii="Times New Roman" w:hAnsi="Times New Roman" w:eastAsia="宋体" w:cs="Times New Roman"/>
          <w:color w:val="auto"/>
          <w:highlight w:val="none"/>
        </w:rPr>
        <w:t>7质量保证、服务承诺书</w:t>
      </w:r>
      <w:bookmarkEnd w:id="188"/>
    </w:p>
    <w:p>
      <w:pPr>
        <w:spacing w:line="360" w:lineRule="auto"/>
        <w:jc w:val="center"/>
        <w:rPr>
          <w:rFonts w:ascii="Times New Roman" w:hAnsi="Times New Roman" w:eastAsia="宋体" w:cs="Times New Roman"/>
          <w:b/>
          <w:bCs/>
          <w:color w:val="auto"/>
          <w:sz w:val="32"/>
          <w:szCs w:val="32"/>
          <w:highlight w:val="none"/>
        </w:rPr>
      </w:pPr>
    </w:p>
    <w:p>
      <w:pPr>
        <w:spacing w:line="360" w:lineRule="auto"/>
        <w:jc w:val="center"/>
        <w:rPr>
          <w:rFonts w:ascii="Times New Roman" w:hAnsi="Times New Roman" w:eastAsia="宋体" w:cs="Times New Roman"/>
          <w:b/>
          <w:bCs/>
          <w:color w:val="auto"/>
          <w:sz w:val="32"/>
          <w:szCs w:val="32"/>
          <w:highlight w:val="none"/>
        </w:rPr>
      </w:pPr>
      <w:r>
        <w:rPr>
          <w:rFonts w:hint="eastAsia" w:ascii="Times New Roman" w:hAnsi="Times New Roman" w:eastAsia="宋体" w:cs="Times New Roman"/>
          <w:b/>
          <w:bCs/>
          <w:color w:val="auto"/>
          <w:sz w:val="32"/>
          <w:szCs w:val="32"/>
          <w:highlight w:val="none"/>
        </w:rPr>
        <w:t>（一）质量保证书</w:t>
      </w:r>
    </w:p>
    <w:p>
      <w:pPr>
        <w:spacing w:line="360" w:lineRule="auto"/>
        <w:jc w:val="center"/>
        <w:rPr>
          <w:rFonts w:ascii="Times New Roman" w:hAnsi="Times New Roman" w:eastAsia="宋体" w:cs="Times New Roman"/>
          <w:b/>
          <w:bCs/>
          <w:color w:val="auto"/>
          <w:sz w:val="32"/>
          <w:szCs w:val="32"/>
          <w:highlight w:val="none"/>
        </w:rPr>
      </w:pPr>
      <w:r>
        <w:rPr>
          <w:rFonts w:hint="eastAsia" w:ascii="Times New Roman" w:hAnsi="Times New Roman" w:eastAsia="宋体" w:cs="Times New Roman"/>
          <w:color w:val="auto"/>
          <w:sz w:val="24"/>
          <w:highlight w:val="none"/>
        </w:rPr>
        <w:t>此部分内容由申请人根据竞争性磋商文件要求及自身实际情况自行编写。</w:t>
      </w:r>
    </w:p>
    <w:p>
      <w:pPr>
        <w:spacing w:line="360" w:lineRule="auto"/>
        <w:jc w:val="center"/>
        <w:rPr>
          <w:rFonts w:ascii="Times New Roman" w:hAnsi="Times New Roman" w:eastAsia="宋体" w:cs="Times New Roman"/>
          <w:b/>
          <w:bCs/>
          <w:color w:val="auto"/>
          <w:sz w:val="32"/>
          <w:szCs w:val="32"/>
          <w:highlight w:val="none"/>
        </w:rPr>
      </w:pPr>
    </w:p>
    <w:p>
      <w:pPr>
        <w:spacing w:line="360" w:lineRule="auto"/>
        <w:jc w:val="center"/>
        <w:rPr>
          <w:rFonts w:ascii="Times New Roman" w:hAnsi="Times New Roman" w:eastAsia="宋体" w:cs="Times New Roman"/>
          <w:b/>
          <w:bCs/>
          <w:color w:val="auto"/>
          <w:sz w:val="32"/>
          <w:szCs w:val="32"/>
          <w:highlight w:val="none"/>
        </w:rPr>
      </w:pPr>
    </w:p>
    <w:p>
      <w:pPr>
        <w:spacing w:line="480" w:lineRule="auto"/>
        <w:rPr>
          <w:rFonts w:ascii="Times New Roman" w:hAnsi="Times New Roman" w:eastAsia="宋体" w:cs="Times New Roman"/>
          <w:color w:val="auto"/>
          <w:sz w:val="28"/>
          <w:szCs w:val="28"/>
          <w:highlight w:val="none"/>
        </w:rPr>
      </w:pPr>
      <w:r>
        <w:rPr>
          <w:rFonts w:hint="eastAsia" w:ascii="Times New Roman" w:hAnsi="Times New Roman" w:eastAsia="宋体" w:cs="Times New Roman"/>
          <w:color w:val="auto"/>
          <w:sz w:val="28"/>
          <w:szCs w:val="28"/>
          <w:highlight w:val="none"/>
        </w:rPr>
        <w:t>供应商</w:t>
      </w:r>
      <w:r>
        <w:rPr>
          <w:rFonts w:ascii="Times New Roman" w:hAnsi="Times New Roman" w:eastAsia="宋体" w:cs="Times New Roman"/>
          <w:color w:val="auto"/>
          <w:sz w:val="28"/>
          <w:szCs w:val="28"/>
          <w:highlight w:val="none"/>
        </w:rPr>
        <w:t>：（盖单位公章）</w:t>
      </w:r>
    </w:p>
    <w:p>
      <w:pPr>
        <w:spacing w:line="480" w:lineRule="auto"/>
        <w:rPr>
          <w:rFonts w:ascii="Times New Roman" w:hAnsi="Times New Roman" w:eastAsia="宋体" w:cs="Times New Roman"/>
          <w:color w:val="auto"/>
          <w:sz w:val="28"/>
          <w:szCs w:val="28"/>
          <w:highlight w:val="none"/>
        </w:rPr>
      </w:pPr>
      <w:r>
        <w:rPr>
          <w:rFonts w:ascii="Times New Roman" w:hAnsi="Times New Roman" w:eastAsia="宋体" w:cs="Times New Roman"/>
          <w:color w:val="auto"/>
          <w:sz w:val="28"/>
          <w:szCs w:val="28"/>
          <w:highlight w:val="none"/>
        </w:rPr>
        <w:t>法定代表人（负责人）或委托代理人：（签字或盖章）</w:t>
      </w:r>
    </w:p>
    <w:p>
      <w:pPr>
        <w:pStyle w:val="2"/>
        <w:rPr>
          <w:b/>
          <w:bCs/>
          <w:color w:val="auto"/>
          <w:sz w:val="32"/>
          <w:szCs w:val="32"/>
          <w:highlight w:val="none"/>
        </w:rPr>
      </w:pPr>
      <w:r>
        <w:rPr>
          <w:rFonts w:hint="eastAsia"/>
          <w:color w:val="auto"/>
          <w:sz w:val="28"/>
          <w:szCs w:val="28"/>
          <w:highlight w:val="none"/>
        </w:rPr>
        <w:t xml:space="preserve">日期：     </w:t>
      </w:r>
      <w:r>
        <w:rPr>
          <w:color w:val="auto"/>
          <w:sz w:val="28"/>
          <w:szCs w:val="28"/>
          <w:highlight w:val="none"/>
        </w:rPr>
        <w:t>年</w:t>
      </w:r>
      <w:r>
        <w:rPr>
          <w:rFonts w:hint="eastAsia"/>
          <w:color w:val="auto"/>
          <w:sz w:val="28"/>
          <w:szCs w:val="28"/>
          <w:highlight w:val="none"/>
        </w:rPr>
        <w:t xml:space="preserve">   </w:t>
      </w:r>
      <w:r>
        <w:rPr>
          <w:color w:val="auto"/>
          <w:sz w:val="28"/>
          <w:szCs w:val="28"/>
          <w:highlight w:val="none"/>
        </w:rPr>
        <w:t>月</w:t>
      </w:r>
      <w:r>
        <w:rPr>
          <w:rFonts w:hint="eastAsia"/>
          <w:color w:val="auto"/>
          <w:sz w:val="28"/>
          <w:szCs w:val="28"/>
          <w:highlight w:val="none"/>
        </w:rPr>
        <w:t xml:space="preserve">    </w:t>
      </w:r>
      <w:r>
        <w:rPr>
          <w:color w:val="auto"/>
          <w:sz w:val="28"/>
          <w:szCs w:val="28"/>
          <w:highlight w:val="none"/>
        </w:rPr>
        <w:t>日</w:t>
      </w:r>
    </w:p>
    <w:p>
      <w:pPr>
        <w:rPr>
          <w:color w:val="auto"/>
          <w:highlight w:val="none"/>
        </w:rPr>
      </w:pPr>
    </w:p>
    <w:p>
      <w:pPr>
        <w:spacing w:line="360" w:lineRule="auto"/>
        <w:jc w:val="center"/>
        <w:rPr>
          <w:rFonts w:ascii="Times New Roman" w:hAnsi="Times New Roman" w:eastAsia="宋体" w:cs="Times New Roman"/>
          <w:b/>
          <w:bCs/>
          <w:color w:val="auto"/>
          <w:sz w:val="32"/>
          <w:szCs w:val="32"/>
          <w:highlight w:val="none"/>
        </w:rPr>
      </w:pPr>
      <w:r>
        <w:rPr>
          <w:rFonts w:hint="eastAsia" w:ascii="Times New Roman" w:hAnsi="Times New Roman" w:eastAsia="宋体" w:cs="Times New Roman"/>
          <w:b/>
          <w:bCs/>
          <w:color w:val="auto"/>
          <w:sz w:val="32"/>
          <w:szCs w:val="32"/>
          <w:highlight w:val="none"/>
        </w:rPr>
        <w:t>（二）</w:t>
      </w:r>
      <w:r>
        <w:rPr>
          <w:rFonts w:ascii="Times New Roman" w:hAnsi="Times New Roman" w:eastAsia="宋体" w:cs="Times New Roman"/>
          <w:b/>
          <w:bCs/>
          <w:color w:val="auto"/>
          <w:sz w:val="32"/>
          <w:szCs w:val="32"/>
          <w:highlight w:val="none"/>
        </w:rPr>
        <w:t>服务承诺书</w:t>
      </w:r>
    </w:p>
    <w:p>
      <w:pPr>
        <w:spacing w:line="360" w:lineRule="auto"/>
        <w:jc w:val="center"/>
        <w:rPr>
          <w:rFonts w:ascii="Times New Roman" w:hAnsi="Times New Roman" w:eastAsia="宋体" w:cs="Times New Roman"/>
          <w:color w:val="auto"/>
          <w:szCs w:val="21"/>
          <w:highlight w:val="none"/>
        </w:rPr>
      </w:pPr>
    </w:p>
    <w:p>
      <w:pPr>
        <w:spacing w:line="360" w:lineRule="auto"/>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 w:val="24"/>
          <w:highlight w:val="none"/>
        </w:rPr>
        <w:t>此部分内容由申请人根据竞争性磋商文件要求及自身实际情况自行编写。</w:t>
      </w:r>
    </w:p>
    <w:p>
      <w:pPr>
        <w:spacing w:line="360" w:lineRule="auto"/>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 w:val="24"/>
          <w:highlight w:val="none"/>
        </w:rPr>
        <w:t>（包括但不限于服务承诺及保证措施等内容）</w:t>
      </w:r>
    </w:p>
    <w:p>
      <w:pPr>
        <w:spacing w:line="360" w:lineRule="auto"/>
        <w:rPr>
          <w:rFonts w:ascii="Times New Roman" w:hAnsi="Times New Roman" w:eastAsia="宋体" w:cs="Times New Roman"/>
          <w:color w:val="auto"/>
          <w:szCs w:val="21"/>
          <w:highlight w:val="none"/>
        </w:rPr>
      </w:pPr>
    </w:p>
    <w:p>
      <w:pPr>
        <w:spacing w:line="480" w:lineRule="auto"/>
        <w:rPr>
          <w:rFonts w:ascii="Times New Roman" w:hAnsi="Times New Roman" w:eastAsia="宋体" w:cs="Times New Roman"/>
          <w:color w:val="auto"/>
          <w:sz w:val="28"/>
          <w:szCs w:val="28"/>
          <w:highlight w:val="none"/>
        </w:rPr>
      </w:pPr>
      <w:r>
        <w:rPr>
          <w:rFonts w:hint="eastAsia" w:ascii="Times New Roman" w:hAnsi="Times New Roman" w:eastAsia="宋体" w:cs="Times New Roman"/>
          <w:color w:val="auto"/>
          <w:sz w:val="28"/>
          <w:szCs w:val="28"/>
          <w:highlight w:val="none"/>
        </w:rPr>
        <w:t>供应商</w:t>
      </w:r>
      <w:r>
        <w:rPr>
          <w:rFonts w:ascii="Times New Roman" w:hAnsi="Times New Roman" w:eastAsia="宋体" w:cs="Times New Roman"/>
          <w:color w:val="auto"/>
          <w:sz w:val="28"/>
          <w:szCs w:val="28"/>
          <w:highlight w:val="none"/>
        </w:rPr>
        <w:t>：（盖单位公章）</w:t>
      </w:r>
    </w:p>
    <w:p>
      <w:pPr>
        <w:spacing w:line="480" w:lineRule="auto"/>
        <w:rPr>
          <w:rFonts w:ascii="Times New Roman" w:hAnsi="Times New Roman" w:eastAsia="宋体" w:cs="Times New Roman"/>
          <w:color w:val="auto"/>
          <w:sz w:val="28"/>
          <w:szCs w:val="28"/>
          <w:highlight w:val="none"/>
        </w:rPr>
      </w:pPr>
      <w:r>
        <w:rPr>
          <w:rFonts w:ascii="Times New Roman" w:hAnsi="Times New Roman" w:eastAsia="宋体" w:cs="Times New Roman"/>
          <w:color w:val="auto"/>
          <w:sz w:val="28"/>
          <w:szCs w:val="28"/>
          <w:highlight w:val="none"/>
        </w:rPr>
        <w:t>法定代表人（负责人）或委托代理人：（签字或盖章）</w:t>
      </w:r>
    </w:p>
    <w:p>
      <w:pPr>
        <w:rPr>
          <w:rFonts w:ascii="宋体" w:hAnsi="宋体" w:eastAsia="宋体" w:cs="宋体"/>
          <w:b/>
          <w:bCs/>
          <w:color w:val="auto"/>
          <w:sz w:val="28"/>
          <w:szCs w:val="28"/>
          <w:highlight w:val="none"/>
        </w:rPr>
      </w:pPr>
      <w:r>
        <w:rPr>
          <w:rFonts w:hint="eastAsia" w:ascii="Times New Roman" w:hAnsi="Times New Roman" w:eastAsia="宋体" w:cs="Times New Roman"/>
          <w:color w:val="auto"/>
          <w:sz w:val="28"/>
          <w:szCs w:val="28"/>
          <w:highlight w:val="none"/>
        </w:rPr>
        <w:t xml:space="preserve">日期：     </w:t>
      </w:r>
      <w:r>
        <w:rPr>
          <w:rFonts w:ascii="Times New Roman" w:hAnsi="Times New Roman" w:eastAsia="宋体" w:cs="Times New Roman"/>
          <w:color w:val="auto"/>
          <w:sz w:val="28"/>
          <w:szCs w:val="28"/>
          <w:highlight w:val="none"/>
        </w:rPr>
        <w:t>年</w:t>
      </w:r>
      <w:r>
        <w:rPr>
          <w:rFonts w:hint="eastAsia" w:ascii="Times New Roman" w:hAnsi="Times New Roman" w:eastAsia="宋体" w:cs="Times New Roman"/>
          <w:color w:val="auto"/>
          <w:sz w:val="28"/>
          <w:szCs w:val="28"/>
          <w:highlight w:val="none"/>
        </w:rPr>
        <w:t xml:space="preserve">   </w:t>
      </w:r>
      <w:r>
        <w:rPr>
          <w:rFonts w:ascii="Times New Roman" w:hAnsi="Times New Roman" w:eastAsia="宋体" w:cs="Times New Roman"/>
          <w:color w:val="auto"/>
          <w:sz w:val="28"/>
          <w:szCs w:val="28"/>
          <w:highlight w:val="none"/>
        </w:rPr>
        <w:t>月</w:t>
      </w:r>
      <w:r>
        <w:rPr>
          <w:rFonts w:hint="eastAsia" w:ascii="Times New Roman" w:hAnsi="Times New Roman" w:eastAsia="宋体" w:cs="Times New Roman"/>
          <w:color w:val="auto"/>
          <w:sz w:val="28"/>
          <w:szCs w:val="28"/>
          <w:highlight w:val="none"/>
        </w:rPr>
        <w:t xml:space="preserve">    </w:t>
      </w:r>
      <w:r>
        <w:rPr>
          <w:rFonts w:ascii="Times New Roman" w:hAnsi="Times New Roman" w:eastAsia="宋体" w:cs="Times New Roman"/>
          <w:color w:val="auto"/>
          <w:sz w:val="28"/>
          <w:szCs w:val="28"/>
          <w:highlight w:val="none"/>
        </w:rPr>
        <w:t>日</w:t>
      </w:r>
    </w:p>
    <w:p>
      <w:pPr>
        <w:rPr>
          <w:color w:val="auto"/>
          <w:highlight w:val="none"/>
        </w:rPr>
      </w:pPr>
    </w:p>
    <w:p>
      <w:pPr>
        <w:pStyle w:val="6"/>
        <w:ind w:firstLine="0" w:firstLineChars="0"/>
        <w:rPr>
          <w:color w:val="auto"/>
          <w:highlight w:val="none"/>
        </w:rPr>
      </w:pPr>
    </w:p>
    <w:p>
      <w:pPr>
        <w:rPr>
          <w:color w:val="auto"/>
          <w:highlight w:val="none"/>
        </w:rPr>
        <w:sectPr>
          <w:pgSz w:w="11906" w:h="16838"/>
          <w:pgMar w:top="1440" w:right="1588" w:bottom="1440" w:left="1588" w:header="851" w:footer="992" w:gutter="0"/>
          <w:cols w:space="720" w:num="1"/>
          <w:docGrid w:type="lines" w:linePitch="312" w:charSpace="0"/>
        </w:sectPr>
      </w:pPr>
    </w:p>
    <w:p>
      <w:pPr>
        <w:pStyle w:val="4"/>
        <w:jc w:val="center"/>
        <w:rPr>
          <w:rFonts w:eastAsiaTheme="minorEastAsia"/>
          <w:color w:val="auto"/>
          <w:highlight w:val="none"/>
        </w:rPr>
      </w:pPr>
      <w:bookmarkStart w:id="189" w:name="_Toc9728"/>
      <w:bookmarkStart w:id="190" w:name="_Toc409775275"/>
      <w:bookmarkStart w:id="191" w:name="_Toc417475050"/>
      <w:bookmarkStart w:id="192" w:name="_Toc417657282"/>
      <w:bookmarkStart w:id="193" w:name="_Toc417475049"/>
      <w:r>
        <w:rPr>
          <w:rFonts w:ascii="Times New Roman" w:hAnsi="Times New Roman" w:cs="Times New Roman"/>
          <w:color w:val="auto"/>
          <w:highlight w:val="none"/>
        </w:rPr>
        <w:t>4.</w:t>
      </w:r>
      <w:r>
        <w:rPr>
          <w:rFonts w:hint="eastAsia" w:ascii="Times New Roman" w:hAnsi="Times New Roman" w:cs="Times New Roman"/>
          <w:color w:val="auto"/>
          <w:highlight w:val="none"/>
        </w:rPr>
        <w:t>8</w:t>
      </w:r>
      <w:r>
        <w:rPr>
          <w:rFonts w:ascii="Times New Roman" w:hAnsi="Times New Roman" w:cs="Times New Roman"/>
          <w:color w:val="auto"/>
          <w:highlight w:val="none"/>
        </w:rPr>
        <w:t xml:space="preserve"> 实施案例</w:t>
      </w:r>
      <w:bookmarkEnd w:id="189"/>
    </w:p>
    <w:p>
      <w:pPr>
        <w:pStyle w:val="9"/>
        <w:ind w:left="0" w:leftChars="0" w:right="1470"/>
        <w:rPr>
          <w:color w:val="auto"/>
          <w:sz w:val="24"/>
          <w:highlight w:val="none"/>
        </w:rPr>
      </w:pPr>
    </w:p>
    <w:p>
      <w:pPr>
        <w:jc w:val="center"/>
        <w:rPr>
          <w:rFonts w:ascii="Times New Roman" w:hAnsi="Times New Roman" w:eastAsia="宋体" w:cs="Times New Roman"/>
          <w:b/>
          <w:color w:val="auto"/>
          <w:kern w:val="0"/>
          <w:highlight w:val="none"/>
        </w:rPr>
      </w:pPr>
      <w:r>
        <w:rPr>
          <w:rFonts w:ascii="Times New Roman" w:hAnsi="Times New Roman" w:cs="Times New Roman"/>
          <w:b/>
          <w:bCs/>
          <w:color w:val="auto"/>
          <w:sz w:val="28"/>
          <w:szCs w:val="28"/>
          <w:highlight w:val="none"/>
        </w:rPr>
        <w:t>近三年（20</w:t>
      </w:r>
      <w:r>
        <w:rPr>
          <w:rFonts w:hint="eastAsia" w:ascii="Times New Roman" w:hAnsi="Times New Roman" w:cs="Times New Roman"/>
          <w:b/>
          <w:bCs/>
          <w:color w:val="auto"/>
          <w:sz w:val="28"/>
          <w:szCs w:val="28"/>
          <w:highlight w:val="none"/>
        </w:rPr>
        <w:t>19</w:t>
      </w:r>
      <w:r>
        <w:rPr>
          <w:rFonts w:ascii="Times New Roman" w:hAnsi="Times New Roman" w:cs="Times New Roman"/>
          <w:b/>
          <w:bCs/>
          <w:color w:val="auto"/>
          <w:sz w:val="28"/>
          <w:szCs w:val="28"/>
          <w:highlight w:val="none"/>
        </w:rPr>
        <w:t>年1月至今）已完成或正在实施项目简况</w:t>
      </w:r>
    </w:p>
    <w:p>
      <w:pPr>
        <w:rPr>
          <w:rFonts w:ascii="Times New Roman" w:hAnsi="Times New Roman" w:eastAsia="宋体" w:cs="Times New Roman"/>
          <w:color w:val="auto"/>
          <w:highlight w:val="none"/>
        </w:rPr>
      </w:pPr>
    </w:p>
    <w:tbl>
      <w:tblPr>
        <w:tblStyle w:val="22"/>
        <w:tblW w:w="0" w:type="auto"/>
        <w:tblInd w:w="-1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4"/>
        <w:gridCol w:w="2835"/>
        <w:gridCol w:w="1276"/>
        <w:gridCol w:w="2126"/>
        <w:gridCol w:w="170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序号</w:t>
            </w:r>
          </w:p>
        </w:tc>
        <w:tc>
          <w:tcPr>
            <w:tcW w:w="28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项目名称</w:t>
            </w:r>
          </w:p>
        </w:tc>
        <w:tc>
          <w:tcPr>
            <w:tcW w:w="127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合同金额（</w:t>
            </w:r>
            <w:r>
              <w:rPr>
                <w:rFonts w:hint="eastAsia" w:ascii="Times New Roman" w:hAnsi="Times New Roman" w:eastAsia="宋体" w:cs="Times New Roman"/>
                <w:color w:val="auto"/>
                <w:szCs w:val="21"/>
                <w:highlight w:val="none"/>
              </w:rPr>
              <w:t>万</w:t>
            </w:r>
            <w:r>
              <w:rPr>
                <w:rFonts w:ascii="Times New Roman" w:hAnsi="Times New Roman" w:eastAsia="宋体" w:cs="Times New Roman"/>
                <w:color w:val="auto"/>
                <w:szCs w:val="21"/>
                <w:highlight w:val="none"/>
              </w:rPr>
              <w:t>元）</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采购</w:t>
            </w:r>
            <w:r>
              <w:rPr>
                <w:rFonts w:ascii="Times New Roman" w:hAnsi="Times New Roman" w:eastAsia="宋体" w:cs="Times New Roman"/>
                <w:color w:val="auto"/>
                <w:szCs w:val="21"/>
                <w:highlight w:val="none"/>
              </w:rPr>
              <w:t>内容</w:t>
            </w:r>
          </w:p>
        </w:tc>
        <w:tc>
          <w:tcPr>
            <w:tcW w:w="170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采购人联系电话</w:t>
            </w:r>
          </w:p>
        </w:tc>
        <w:tc>
          <w:tcPr>
            <w:tcW w:w="11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业主评价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1</w:t>
            </w:r>
          </w:p>
        </w:tc>
        <w:tc>
          <w:tcPr>
            <w:tcW w:w="28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auto"/>
                <w:szCs w:val="21"/>
                <w:highlight w:val="none"/>
              </w:rPr>
            </w:pPr>
          </w:p>
        </w:tc>
        <w:tc>
          <w:tcPr>
            <w:tcW w:w="212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2</w:t>
            </w:r>
          </w:p>
        </w:tc>
        <w:tc>
          <w:tcPr>
            <w:tcW w:w="28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auto"/>
                <w:szCs w:val="21"/>
                <w:highlight w:val="none"/>
              </w:rPr>
            </w:pPr>
          </w:p>
        </w:tc>
        <w:tc>
          <w:tcPr>
            <w:tcW w:w="212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3</w:t>
            </w:r>
          </w:p>
        </w:tc>
        <w:tc>
          <w:tcPr>
            <w:tcW w:w="28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auto"/>
                <w:szCs w:val="21"/>
                <w:highlight w:val="none"/>
              </w:rPr>
            </w:pPr>
          </w:p>
        </w:tc>
        <w:tc>
          <w:tcPr>
            <w:tcW w:w="212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4</w:t>
            </w:r>
          </w:p>
        </w:tc>
        <w:tc>
          <w:tcPr>
            <w:tcW w:w="28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auto"/>
                <w:szCs w:val="21"/>
                <w:highlight w:val="none"/>
              </w:rPr>
            </w:pPr>
          </w:p>
        </w:tc>
        <w:tc>
          <w:tcPr>
            <w:tcW w:w="212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5</w:t>
            </w:r>
          </w:p>
        </w:tc>
        <w:tc>
          <w:tcPr>
            <w:tcW w:w="28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auto"/>
                <w:szCs w:val="21"/>
                <w:highlight w:val="none"/>
              </w:rPr>
            </w:pPr>
          </w:p>
        </w:tc>
        <w:tc>
          <w:tcPr>
            <w:tcW w:w="212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auto"/>
                <w:szCs w:val="21"/>
                <w:highlight w:val="none"/>
              </w:rPr>
            </w:pPr>
          </w:p>
        </w:tc>
        <w:tc>
          <w:tcPr>
            <w:tcW w:w="28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auto"/>
                <w:szCs w:val="21"/>
                <w:highlight w:val="none"/>
              </w:rPr>
            </w:pPr>
          </w:p>
        </w:tc>
        <w:tc>
          <w:tcPr>
            <w:tcW w:w="212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auto"/>
                <w:szCs w:val="21"/>
                <w:highlight w:val="none"/>
              </w:rPr>
            </w:pPr>
          </w:p>
        </w:tc>
        <w:tc>
          <w:tcPr>
            <w:tcW w:w="28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auto"/>
                <w:szCs w:val="21"/>
                <w:highlight w:val="none"/>
              </w:rPr>
            </w:pPr>
          </w:p>
        </w:tc>
        <w:tc>
          <w:tcPr>
            <w:tcW w:w="127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auto"/>
                <w:szCs w:val="21"/>
                <w:highlight w:val="none"/>
              </w:rPr>
            </w:pPr>
          </w:p>
        </w:tc>
        <w:tc>
          <w:tcPr>
            <w:tcW w:w="2126"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eastAsia="宋体" w:cs="Times New Roman"/>
                <w:color w:val="auto"/>
                <w:szCs w:val="21"/>
                <w:highlight w:val="none"/>
              </w:rPr>
            </w:pPr>
          </w:p>
        </w:tc>
      </w:tr>
    </w:tbl>
    <w:p>
      <w:pPr>
        <w:widowControl/>
        <w:spacing w:after="120"/>
        <w:ind w:right="1470" w:rightChars="700"/>
        <w:jc w:val="left"/>
        <w:rPr>
          <w:rFonts w:ascii="Times New Roman" w:hAnsi="Times New Roman" w:eastAsia="宋体" w:cs="Times New Roman"/>
          <w:color w:val="auto"/>
          <w:kern w:val="0"/>
          <w:sz w:val="20"/>
          <w:highlight w:val="none"/>
        </w:rPr>
      </w:pPr>
      <w:r>
        <w:rPr>
          <w:rFonts w:ascii="Times New Roman" w:hAnsi="Times New Roman" w:eastAsia="宋体" w:cs="Times New Roman"/>
          <w:color w:val="auto"/>
          <w:szCs w:val="21"/>
          <w:highlight w:val="none"/>
        </w:rPr>
        <w:t>注：</w:t>
      </w:r>
      <w:r>
        <w:rPr>
          <w:rFonts w:hint="eastAsia" w:ascii="Times New Roman" w:hAnsi="Times New Roman" w:eastAsia="宋体" w:cs="Times New Roman"/>
          <w:color w:val="auto"/>
          <w:szCs w:val="21"/>
          <w:highlight w:val="none"/>
        </w:rPr>
        <w:t>（1）</w:t>
      </w:r>
      <w:r>
        <w:rPr>
          <w:rFonts w:ascii="Times New Roman" w:hAnsi="Times New Roman" w:eastAsia="宋体" w:cs="Times New Roman"/>
          <w:color w:val="auto"/>
          <w:szCs w:val="21"/>
          <w:highlight w:val="none"/>
        </w:rPr>
        <w:t>本表后附合同复印件</w:t>
      </w:r>
      <w:r>
        <w:rPr>
          <w:rFonts w:hint="eastAsia" w:ascii="Times New Roman" w:hAnsi="Times New Roman" w:eastAsia="宋体" w:cs="Times New Roman"/>
          <w:color w:val="auto"/>
          <w:szCs w:val="21"/>
          <w:highlight w:val="none"/>
        </w:rPr>
        <w:t>或中标通知书</w:t>
      </w:r>
      <w:r>
        <w:rPr>
          <w:rFonts w:ascii="Times New Roman" w:hAnsi="Times New Roman" w:eastAsia="宋体" w:cs="Times New Roman"/>
          <w:color w:val="auto"/>
          <w:szCs w:val="21"/>
          <w:highlight w:val="none"/>
        </w:rPr>
        <w:t>，按合同签订时间顺序填表。</w:t>
      </w:r>
    </w:p>
    <w:p>
      <w:pPr>
        <w:rPr>
          <w:rFonts w:ascii="Times New Roman" w:hAnsi="Times New Roman" w:eastAsia="宋体" w:cs="Times New Roman"/>
          <w:color w:val="auto"/>
          <w:kern w:val="0"/>
          <w:sz w:val="28"/>
          <w:szCs w:val="20"/>
          <w:highlight w:val="none"/>
        </w:rPr>
      </w:pPr>
    </w:p>
    <w:p>
      <w:pPr>
        <w:spacing w:line="360" w:lineRule="auto"/>
        <w:jc w:val="left"/>
        <w:rPr>
          <w:rFonts w:ascii="宋体" w:hAnsi="Times New Roman" w:eastAsia="宋体" w:cs="Times New Roman"/>
          <w:color w:val="auto"/>
          <w:sz w:val="28"/>
          <w:szCs w:val="28"/>
          <w:highlight w:val="none"/>
        </w:rPr>
      </w:pPr>
      <w:r>
        <w:rPr>
          <w:rFonts w:hint="eastAsia" w:ascii="宋体" w:hAnsi="Times New Roman" w:eastAsia="宋体" w:cs="Times New Roman"/>
          <w:color w:val="auto"/>
          <w:sz w:val="28"/>
          <w:szCs w:val="28"/>
          <w:highlight w:val="none"/>
        </w:rPr>
        <w:t>供应商：（盖单位公章）</w:t>
      </w:r>
    </w:p>
    <w:p>
      <w:pPr>
        <w:spacing w:line="360" w:lineRule="auto"/>
        <w:rPr>
          <w:rFonts w:ascii="宋体" w:hAnsi="Times New Roman" w:eastAsia="宋体" w:cs="Times New Roman"/>
          <w:color w:val="auto"/>
          <w:sz w:val="28"/>
          <w:szCs w:val="28"/>
          <w:highlight w:val="none"/>
        </w:rPr>
      </w:pPr>
      <w:r>
        <w:rPr>
          <w:rFonts w:hint="eastAsia" w:ascii="宋体" w:hAnsi="Times New Roman" w:eastAsia="宋体" w:cs="Times New Roman"/>
          <w:color w:val="auto"/>
          <w:sz w:val="28"/>
          <w:szCs w:val="28"/>
          <w:highlight w:val="none"/>
        </w:rPr>
        <w:t>法定代表人或其委托代理人：（签字或盖章）</w:t>
      </w:r>
    </w:p>
    <w:p>
      <w:pPr>
        <w:rPr>
          <w:rFonts w:ascii="宋体" w:hAnsi="宋体" w:eastAsia="宋体" w:cs="宋体"/>
          <w:color w:val="auto"/>
          <w:highlight w:val="none"/>
        </w:rPr>
      </w:pPr>
      <w:r>
        <w:rPr>
          <w:rFonts w:hint="eastAsia" w:ascii="Times New Roman" w:hAnsi="Times New Roman" w:eastAsia="宋体" w:cs="Times New Roman"/>
          <w:color w:val="auto"/>
          <w:sz w:val="28"/>
          <w:szCs w:val="28"/>
          <w:highlight w:val="none"/>
        </w:rPr>
        <w:t>日期：年月日</w:t>
      </w:r>
    </w:p>
    <w:p>
      <w:pPr>
        <w:pStyle w:val="9"/>
        <w:ind w:left="0" w:leftChars="0" w:right="1470"/>
        <w:rPr>
          <w:color w:val="auto"/>
          <w:sz w:val="24"/>
          <w:highlight w:val="none"/>
        </w:rPr>
        <w:sectPr>
          <w:pgSz w:w="11906" w:h="16838"/>
          <w:pgMar w:top="1440" w:right="1588" w:bottom="1440" w:left="1588" w:header="851" w:footer="992" w:gutter="0"/>
          <w:cols w:space="720" w:num="1"/>
          <w:docGrid w:type="lines" w:linePitch="312" w:charSpace="0"/>
        </w:sectPr>
      </w:pPr>
    </w:p>
    <w:p>
      <w:pPr>
        <w:pStyle w:val="4"/>
        <w:jc w:val="center"/>
        <w:rPr>
          <w:rFonts w:asciiTheme="minorEastAsia" w:hAnsiTheme="minorEastAsia" w:cstheme="minorEastAsia"/>
          <w:color w:val="auto"/>
          <w:sz w:val="28"/>
          <w:szCs w:val="28"/>
          <w:highlight w:val="none"/>
        </w:rPr>
      </w:pPr>
      <w:bookmarkStart w:id="194" w:name="_Toc12504"/>
      <w:r>
        <w:rPr>
          <w:rFonts w:ascii="Times New Roman" w:hAnsi="Times New Roman" w:cs="Times New Roman" w:eastAsiaTheme="minorEastAsia"/>
          <w:color w:val="auto"/>
          <w:szCs w:val="32"/>
          <w:highlight w:val="none"/>
        </w:rPr>
        <w:t xml:space="preserve">4.9 </w:t>
      </w:r>
      <w:r>
        <w:rPr>
          <w:rFonts w:ascii="Times New Roman" w:hAnsi="Times New Roman" w:cs="Times New Roman"/>
          <w:color w:val="auto"/>
          <w:szCs w:val="32"/>
          <w:highlight w:val="none"/>
        </w:rPr>
        <w:t xml:space="preserve"> </w:t>
      </w:r>
      <w:r>
        <w:rPr>
          <w:rFonts w:hint="eastAsia" w:asciiTheme="minorEastAsia" w:hAnsiTheme="minorEastAsia" w:eastAsiaTheme="minorEastAsia" w:cstheme="minorEastAsia"/>
          <w:color w:val="auto"/>
          <w:szCs w:val="32"/>
          <w:highlight w:val="none"/>
        </w:rPr>
        <w:t>项目人员情况表</w:t>
      </w:r>
      <w:bookmarkEnd w:id="194"/>
    </w:p>
    <w:p>
      <w:pPr>
        <w:adjustRightInd w:val="0"/>
        <w:snapToGrid w:val="0"/>
        <w:spacing w:line="360" w:lineRule="auto"/>
        <w:ind w:firstLine="482" w:firstLineChars="200"/>
        <w:jc w:val="center"/>
        <w:rPr>
          <w:rFonts w:ascii="宋体" w:hAnsi="宋体" w:eastAsia="宋体" w:cs="Times New Roman"/>
          <w:b/>
          <w:color w:val="auto"/>
          <w:sz w:val="24"/>
          <w:highlight w:val="none"/>
        </w:rPr>
      </w:pPr>
    </w:p>
    <w:p>
      <w:pPr>
        <w:adjustRightInd w:val="0"/>
        <w:snapToGrid w:val="0"/>
        <w:spacing w:line="360" w:lineRule="auto"/>
        <w:ind w:firstLine="482" w:firstLineChars="200"/>
        <w:jc w:val="center"/>
        <w:rPr>
          <w:rFonts w:ascii="宋体" w:hAnsi="宋体" w:eastAsia="宋体" w:cs="Times New Roman"/>
          <w:b/>
          <w:color w:val="auto"/>
          <w:sz w:val="24"/>
          <w:highlight w:val="none"/>
        </w:rPr>
      </w:pPr>
      <w:r>
        <w:rPr>
          <w:rFonts w:hint="eastAsia" w:ascii="宋体" w:hAnsi="宋体" w:eastAsia="宋体" w:cs="Times New Roman"/>
          <w:b/>
          <w:color w:val="auto"/>
          <w:sz w:val="24"/>
          <w:highlight w:val="none"/>
        </w:rPr>
        <w:t>项目负责人基本情况表</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7"/>
        <w:gridCol w:w="182"/>
        <w:gridCol w:w="1231"/>
        <w:gridCol w:w="591"/>
        <w:gridCol w:w="899"/>
        <w:gridCol w:w="741"/>
        <w:gridCol w:w="750"/>
        <w:gridCol w:w="1255"/>
        <w:gridCol w:w="411"/>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1567" w:type="dxa"/>
            <w:vAlign w:val="center"/>
          </w:tcPr>
          <w:p>
            <w:pPr>
              <w:jc w:val="center"/>
              <w:rPr>
                <w:rFonts w:ascii="宋体" w:hAnsi="宋体" w:eastAsia="宋体" w:cs="Times New Roman"/>
                <w:color w:val="auto"/>
                <w:sz w:val="24"/>
                <w:szCs w:val="21"/>
                <w:highlight w:val="none"/>
              </w:rPr>
            </w:pPr>
            <w:r>
              <w:rPr>
                <w:rFonts w:hint="eastAsia" w:ascii="宋体" w:hAnsi="宋体" w:eastAsia="宋体" w:cs="Times New Roman"/>
                <w:color w:val="auto"/>
                <w:sz w:val="24"/>
                <w:szCs w:val="21"/>
                <w:highlight w:val="none"/>
              </w:rPr>
              <w:t>姓名</w:t>
            </w:r>
          </w:p>
        </w:tc>
        <w:tc>
          <w:tcPr>
            <w:tcW w:w="1413" w:type="dxa"/>
            <w:gridSpan w:val="2"/>
            <w:vAlign w:val="center"/>
          </w:tcPr>
          <w:p>
            <w:pPr>
              <w:jc w:val="center"/>
              <w:rPr>
                <w:rFonts w:ascii="宋体" w:hAnsi="宋体" w:eastAsia="宋体" w:cs="Times New Roman"/>
                <w:color w:val="auto"/>
                <w:sz w:val="24"/>
                <w:szCs w:val="21"/>
                <w:highlight w:val="none"/>
              </w:rPr>
            </w:pPr>
          </w:p>
        </w:tc>
        <w:tc>
          <w:tcPr>
            <w:tcW w:w="1490" w:type="dxa"/>
            <w:gridSpan w:val="2"/>
            <w:vAlign w:val="center"/>
          </w:tcPr>
          <w:p>
            <w:pPr>
              <w:jc w:val="center"/>
              <w:rPr>
                <w:rFonts w:ascii="宋体" w:hAnsi="宋体" w:eastAsia="宋体" w:cs="Times New Roman"/>
                <w:color w:val="auto"/>
                <w:sz w:val="24"/>
                <w:szCs w:val="21"/>
                <w:highlight w:val="none"/>
              </w:rPr>
            </w:pPr>
            <w:r>
              <w:rPr>
                <w:rFonts w:hint="eastAsia" w:ascii="宋体" w:hAnsi="宋体" w:eastAsia="宋体" w:cs="Times New Roman"/>
                <w:color w:val="auto"/>
                <w:sz w:val="24"/>
                <w:szCs w:val="21"/>
                <w:highlight w:val="none"/>
              </w:rPr>
              <w:t>性别</w:t>
            </w:r>
          </w:p>
        </w:tc>
        <w:tc>
          <w:tcPr>
            <w:tcW w:w="1491" w:type="dxa"/>
            <w:gridSpan w:val="2"/>
            <w:vAlign w:val="center"/>
          </w:tcPr>
          <w:p>
            <w:pPr>
              <w:jc w:val="center"/>
              <w:rPr>
                <w:rFonts w:ascii="宋体" w:hAnsi="宋体" w:eastAsia="宋体" w:cs="Times New Roman"/>
                <w:color w:val="auto"/>
                <w:sz w:val="24"/>
                <w:szCs w:val="21"/>
                <w:highlight w:val="none"/>
              </w:rPr>
            </w:pPr>
          </w:p>
        </w:tc>
        <w:tc>
          <w:tcPr>
            <w:tcW w:w="1666" w:type="dxa"/>
            <w:gridSpan w:val="2"/>
            <w:vAlign w:val="center"/>
          </w:tcPr>
          <w:p>
            <w:pPr>
              <w:jc w:val="center"/>
              <w:rPr>
                <w:rFonts w:ascii="宋体" w:hAnsi="宋体" w:eastAsia="宋体" w:cs="Times New Roman"/>
                <w:color w:val="auto"/>
                <w:sz w:val="24"/>
                <w:szCs w:val="21"/>
                <w:highlight w:val="none"/>
              </w:rPr>
            </w:pPr>
            <w:r>
              <w:rPr>
                <w:rFonts w:hint="eastAsia" w:ascii="宋体" w:hAnsi="宋体" w:eastAsia="宋体" w:cs="Times New Roman"/>
                <w:color w:val="auto"/>
                <w:sz w:val="24"/>
                <w:szCs w:val="21"/>
                <w:highlight w:val="none"/>
              </w:rPr>
              <w:t>年龄</w:t>
            </w:r>
          </w:p>
        </w:tc>
        <w:tc>
          <w:tcPr>
            <w:tcW w:w="1620" w:type="dxa"/>
          </w:tcPr>
          <w:p>
            <w:pPr>
              <w:jc w:val="center"/>
              <w:rPr>
                <w:rFonts w:ascii="宋体" w:hAnsi="宋体" w:eastAsia="宋体" w:cs="Times New Roman"/>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6" w:hRule="atLeast"/>
          <w:jc w:val="center"/>
        </w:trPr>
        <w:tc>
          <w:tcPr>
            <w:tcW w:w="1567" w:type="dxa"/>
            <w:vAlign w:val="center"/>
          </w:tcPr>
          <w:p>
            <w:pPr>
              <w:jc w:val="center"/>
              <w:rPr>
                <w:rFonts w:ascii="宋体" w:hAnsi="宋体" w:eastAsia="宋体" w:cs="Times New Roman"/>
                <w:color w:val="auto"/>
                <w:sz w:val="24"/>
                <w:szCs w:val="21"/>
                <w:highlight w:val="none"/>
              </w:rPr>
            </w:pPr>
            <w:r>
              <w:rPr>
                <w:rFonts w:hint="eastAsia" w:ascii="宋体" w:hAnsi="宋体" w:eastAsia="宋体" w:cs="Times New Roman"/>
                <w:color w:val="auto"/>
                <w:sz w:val="24"/>
                <w:szCs w:val="21"/>
                <w:highlight w:val="none"/>
              </w:rPr>
              <w:t>执业资格</w:t>
            </w:r>
          </w:p>
        </w:tc>
        <w:tc>
          <w:tcPr>
            <w:tcW w:w="1413" w:type="dxa"/>
            <w:gridSpan w:val="2"/>
            <w:vAlign w:val="center"/>
          </w:tcPr>
          <w:p>
            <w:pPr>
              <w:jc w:val="center"/>
              <w:rPr>
                <w:rFonts w:ascii="宋体" w:hAnsi="宋体" w:eastAsia="宋体" w:cs="Times New Roman"/>
                <w:color w:val="auto"/>
                <w:sz w:val="24"/>
                <w:szCs w:val="21"/>
                <w:highlight w:val="none"/>
              </w:rPr>
            </w:pPr>
          </w:p>
        </w:tc>
        <w:tc>
          <w:tcPr>
            <w:tcW w:w="1490" w:type="dxa"/>
            <w:gridSpan w:val="2"/>
            <w:vAlign w:val="center"/>
          </w:tcPr>
          <w:p>
            <w:pPr>
              <w:jc w:val="center"/>
              <w:rPr>
                <w:rFonts w:ascii="宋体" w:hAnsi="宋体" w:eastAsia="宋体" w:cs="Times New Roman"/>
                <w:color w:val="auto"/>
                <w:sz w:val="24"/>
                <w:szCs w:val="21"/>
                <w:highlight w:val="none"/>
              </w:rPr>
            </w:pPr>
            <w:r>
              <w:rPr>
                <w:rFonts w:hint="eastAsia" w:ascii="宋体" w:hAnsi="宋体" w:eastAsia="宋体" w:cs="Times New Roman"/>
                <w:color w:val="auto"/>
                <w:sz w:val="24"/>
                <w:szCs w:val="21"/>
                <w:highlight w:val="none"/>
              </w:rPr>
              <w:t>职称</w:t>
            </w:r>
          </w:p>
        </w:tc>
        <w:tc>
          <w:tcPr>
            <w:tcW w:w="1491" w:type="dxa"/>
            <w:gridSpan w:val="2"/>
            <w:vAlign w:val="center"/>
          </w:tcPr>
          <w:p>
            <w:pPr>
              <w:jc w:val="center"/>
              <w:rPr>
                <w:rFonts w:ascii="宋体" w:hAnsi="宋体" w:eastAsia="宋体" w:cs="Times New Roman"/>
                <w:color w:val="auto"/>
                <w:sz w:val="24"/>
                <w:szCs w:val="21"/>
                <w:highlight w:val="none"/>
              </w:rPr>
            </w:pPr>
          </w:p>
        </w:tc>
        <w:tc>
          <w:tcPr>
            <w:tcW w:w="1666" w:type="dxa"/>
            <w:gridSpan w:val="2"/>
            <w:vAlign w:val="center"/>
          </w:tcPr>
          <w:p>
            <w:pPr>
              <w:jc w:val="center"/>
              <w:rPr>
                <w:rFonts w:ascii="宋体" w:hAnsi="宋体" w:eastAsia="宋体" w:cs="Times New Roman"/>
                <w:color w:val="auto"/>
                <w:sz w:val="24"/>
                <w:szCs w:val="21"/>
                <w:highlight w:val="none"/>
              </w:rPr>
            </w:pPr>
            <w:r>
              <w:rPr>
                <w:rFonts w:hint="eastAsia" w:ascii="宋体" w:hAnsi="宋体" w:eastAsia="宋体" w:cs="Times New Roman"/>
                <w:color w:val="auto"/>
                <w:sz w:val="24"/>
                <w:szCs w:val="21"/>
                <w:highlight w:val="none"/>
              </w:rPr>
              <w:t>学历</w:t>
            </w:r>
          </w:p>
        </w:tc>
        <w:tc>
          <w:tcPr>
            <w:tcW w:w="1620" w:type="dxa"/>
          </w:tcPr>
          <w:p>
            <w:pPr>
              <w:jc w:val="center"/>
              <w:rPr>
                <w:rFonts w:ascii="宋体" w:hAnsi="宋体" w:eastAsia="宋体" w:cs="Times New Roman"/>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2980" w:type="dxa"/>
            <w:gridSpan w:val="3"/>
            <w:vAlign w:val="center"/>
          </w:tcPr>
          <w:p>
            <w:pPr>
              <w:jc w:val="center"/>
              <w:rPr>
                <w:rFonts w:ascii="宋体" w:hAnsi="宋体" w:eastAsia="宋体" w:cs="Times New Roman"/>
                <w:color w:val="auto"/>
                <w:sz w:val="24"/>
                <w:szCs w:val="21"/>
                <w:highlight w:val="none"/>
              </w:rPr>
            </w:pPr>
            <w:r>
              <w:rPr>
                <w:rFonts w:hint="eastAsia" w:ascii="宋体" w:hAnsi="宋体" w:eastAsia="宋体" w:cs="Times New Roman"/>
                <w:color w:val="auto"/>
                <w:sz w:val="24"/>
                <w:szCs w:val="21"/>
                <w:highlight w:val="none"/>
              </w:rPr>
              <w:t>参加工作时间</w:t>
            </w:r>
          </w:p>
        </w:tc>
        <w:tc>
          <w:tcPr>
            <w:tcW w:w="1490" w:type="dxa"/>
            <w:gridSpan w:val="2"/>
            <w:vAlign w:val="center"/>
          </w:tcPr>
          <w:p>
            <w:pPr>
              <w:jc w:val="center"/>
              <w:rPr>
                <w:rFonts w:ascii="宋体" w:hAnsi="宋体" w:eastAsia="宋体" w:cs="Times New Roman"/>
                <w:color w:val="auto"/>
                <w:sz w:val="24"/>
                <w:szCs w:val="21"/>
                <w:highlight w:val="none"/>
              </w:rPr>
            </w:pPr>
          </w:p>
        </w:tc>
        <w:tc>
          <w:tcPr>
            <w:tcW w:w="3157" w:type="dxa"/>
            <w:gridSpan w:val="4"/>
            <w:vAlign w:val="center"/>
          </w:tcPr>
          <w:p>
            <w:pPr>
              <w:jc w:val="center"/>
              <w:rPr>
                <w:rFonts w:ascii="宋体" w:hAnsi="宋体" w:eastAsia="宋体" w:cs="Times New Roman"/>
                <w:color w:val="auto"/>
                <w:sz w:val="24"/>
                <w:szCs w:val="21"/>
                <w:highlight w:val="none"/>
              </w:rPr>
            </w:pPr>
            <w:r>
              <w:rPr>
                <w:rFonts w:hint="eastAsia" w:ascii="宋体" w:hAnsi="宋体" w:eastAsia="宋体" w:cs="Times New Roman"/>
                <w:color w:val="auto"/>
                <w:sz w:val="24"/>
                <w:szCs w:val="21"/>
                <w:highlight w:val="none"/>
              </w:rPr>
              <w:t>担任项目负责人年限</w:t>
            </w:r>
          </w:p>
        </w:tc>
        <w:tc>
          <w:tcPr>
            <w:tcW w:w="1620" w:type="dxa"/>
          </w:tcPr>
          <w:p>
            <w:pPr>
              <w:jc w:val="center"/>
              <w:rPr>
                <w:rFonts w:ascii="宋体" w:hAnsi="宋体" w:eastAsia="宋体" w:cs="Times New Roman"/>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9247" w:type="dxa"/>
            <w:gridSpan w:val="10"/>
            <w:vAlign w:val="center"/>
          </w:tcPr>
          <w:p>
            <w:pPr>
              <w:jc w:val="center"/>
              <w:rPr>
                <w:rFonts w:ascii="宋体" w:hAnsi="宋体" w:eastAsia="宋体" w:cs="Times New Roman"/>
                <w:color w:val="auto"/>
                <w:sz w:val="24"/>
                <w:szCs w:val="21"/>
                <w:highlight w:val="none"/>
              </w:rPr>
            </w:pPr>
            <w:r>
              <w:rPr>
                <w:rFonts w:hint="eastAsia" w:ascii="宋体" w:hAnsi="宋体" w:eastAsia="宋体" w:cs="Times New Roman"/>
                <w:color w:val="auto"/>
                <w:sz w:val="24"/>
                <w:szCs w:val="21"/>
                <w:highlight w:val="none"/>
              </w:rPr>
              <w:t>承担过的类似项目情况表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1749" w:type="dxa"/>
            <w:gridSpan w:val="2"/>
            <w:vAlign w:val="center"/>
          </w:tcPr>
          <w:p>
            <w:pPr>
              <w:jc w:val="center"/>
              <w:rPr>
                <w:rFonts w:ascii="宋体" w:hAnsi="宋体" w:eastAsia="宋体" w:cs="Times New Roman"/>
                <w:color w:val="auto"/>
                <w:sz w:val="24"/>
                <w:szCs w:val="21"/>
                <w:highlight w:val="none"/>
              </w:rPr>
            </w:pPr>
            <w:r>
              <w:rPr>
                <w:rFonts w:hint="eastAsia" w:ascii="宋体" w:hAnsi="宋体" w:eastAsia="宋体" w:cs="Times New Roman"/>
                <w:color w:val="auto"/>
                <w:sz w:val="24"/>
                <w:szCs w:val="21"/>
                <w:highlight w:val="none"/>
              </w:rPr>
              <w:t>项目单位</w:t>
            </w:r>
          </w:p>
        </w:tc>
        <w:tc>
          <w:tcPr>
            <w:tcW w:w="1822" w:type="dxa"/>
            <w:gridSpan w:val="2"/>
            <w:vAlign w:val="center"/>
          </w:tcPr>
          <w:p>
            <w:pPr>
              <w:jc w:val="center"/>
              <w:rPr>
                <w:rFonts w:ascii="宋体" w:hAnsi="宋体" w:eastAsia="宋体" w:cs="Times New Roman"/>
                <w:color w:val="auto"/>
                <w:sz w:val="24"/>
                <w:szCs w:val="21"/>
                <w:highlight w:val="none"/>
              </w:rPr>
            </w:pPr>
            <w:r>
              <w:rPr>
                <w:rFonts w:hint="eastAsia" w:ascii="宋体" w:hAnsi="宋体" w:eastAsia="宋体" w:cs="Times New Roman"/>
                <w:color w:val="auto"/>
                <w:sz w:val="24"/>
                <w:szCs w:val="21"/>
                <w:highlight w:val="none"/>
              </w:rPr>
              <w:t>项目名称</w:t>
            </w:r>
          </w:p>
        </w:tc>
        <w:tc>
          <w:tcPr>
            <w:tcW w:w="1640" w:type="dxa"/>
            <w:gridSpan w:val="2"/>
            <w:vAlign w:val="center"/>
          </w:tcPr>
          <w:p>
            <w:pPr>
              <w:jc w:val="center"/>
              <w:rPr>
                <w:rFonts w:ascii="宋体" w:hAnsi="宋体" w:eastAsia="宋体" w:cs="Times New Roman"/>
                <w:color w:val="auto"/>
                <w:sz w:val="24"/>
                <w:szCs w:val="21"/>
                <w:highlight w:val="none"/>
              </w:rPr>
            </w:pPr>
            <w:r>
              <w:rPr>
                <w:rFonts w:hint="eastAsia" w:ascii="宋体" w:hAnsi="宋体" w:eastAsia="宋体" w:cs="Times New Roman"/>
                <w:color w:val="auto"/>
                <w:sz w:val="24"/>
                <w:szCs w:val="21"/>
                <w:highlight w:val="none"/>
              </w:rPr>
              <w:t>规模</w:t>
            </w:r>
          </w:p>
        </w:tc>
        <w:tc>
          <w:tcPr>
            <w:tcW w:w="2005" w:type="dxa"/>
            <w:gridSpan w:val="2"/>
            <w:vAlign w:val="center"/>
          </w:tcPr>
          <w:p>
            <w:pPr>
              <w:jc w:val="center"/>
              <w:rPr>
                <w:rFonts w:ascii="宋体" w:hAnsi="宋体" w:eastAsia="宋体" w:cs="Times New Roman"/>
                <w:color w:val="auto"/>
                <w:sz w:val="24"/>
                <w:szCs w:val="21"/>
                <w:highlight w:val="none"/>
              </w:rPr>
            </w:pPr>
            <w:r>
              <w:rPr>
                <w:rFonts w:hint="eastAsia" w:ascii="宋体" w:hAnsi="宋体" w:eastAsia="宋体" w:cs="Times New Roman"/>
                <w:color w:val="auto"/>
                <w:sz w:val="24"/>
                <w:szCs w:val="21"/>
                <w:highlight w:val="none"/>
              </w:rPr>
              <w:t>项目起止日期</w:t>
            </w:r>
          </w:p>
        </w:tc>
        <w:tc>
          <w:tcPr>
            <w:tcW w:w="2031" w:type="dxa"/>
            <w:gridSpan w:val="2"/>
            <w:vAlign w:val="center"/>
          </w:tcPr>
          <w:p>
            <w:pPr>
              <w:jc w:val="center"/>
              <w:rPr>
                <w:rFonts w:ascii="宋体" w:hAnsi="宋体" w:eastAsia="宋体" w:cs="Times New Roman"/>
                <w:color w:val="auto"/>
                <w:sz w:val="24"/>
                <w:szCs w:val="21"/>
                <w:highlight w:val="none"/>
              </w:rPr>
            </w:pPr>
            <w:r>
              <w:rPr>
                <w:rFonts w:hint="eastAsia" w:ascii="宋体" w:hAnsi="宋体" w:eastAsia="宋体" w:cs="Times New Roman"/>
                <w:color w:val="auto"/>
                <w:sz w:val="24"/>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1749" w:type="dxa"/>
            <w:gridSpan w:val="2"/>
            <w:vAlign w:val="center"/>
          </w:tcPr>
          <w:p>
            <w:pPr>
              <w:jc w:val="center"/>
              <w:rPr>
                <w:rFonts w:ascii="宋体" w:hAnsi="宋体" w:eastAsia="宋体" w:cs="Times New Roman"/>
                <w:color w:val="auto"/>
                <w:sz w:val="24"/>
                <w:szCs w:val="21"/>
                <w:highlight w:val="none"/>
              </w:rPr>
            </w:pPr>
          </w:p>
        </w:tc>
        <w:tc>
          <w:tcPr>
            <w:tcW w:w="1822" w:type="dxa"/>
            <w:gridSpan w:val="2"/>
            <w:vAlign w:val="center"/>
          </w:tcPr>
          <w:p>
            <w:pPr>
              <w:jc w:val="center"/>
              <w:rPr>
                <w:rFonts w:ascii="宋体" w:hAnsi="宋体" w:eastAsia="宋体" w:cs="Times New Roman"/>
                <w:color w:val="auto"/>
                <w:sz w:val="24"/>
                <w:szCs w:val="21"/>
                <w:highlight w:val="none"/>
              </w:rPr>
            </w:pPr>
          </w:p>
        </w:tc>
        <w:tc>
          <w:tcPr>
            <w:tcW w:w="1640" w:type="dxa"/>
            <w:gridSpan w:val="2"/>
            <w:vAlign w:val="center"/>
          </w:tcPr>
          <w:p>
            <w:pPr>
              <w:jc w:val="center"/>
              <w:rPr>
                <w:rFonts w:ascii="宋体" w:hAnsi="宋体" w:eastAsia="宋体" w:cs="Times New Roman"/>
                <w:color w:val="auto"/>
                <w:sz w:val="24"/>
                <w:szCs w:val="21"/>
                <w:highlight w:val="none"/>
              </w:rPr>
            </w:pPr>
          </w:p>
        </w:tc>
        <w:tc>
          <w:tcPr>
            <w:tcW w:w="2005" w:type="dxa"/>
            <w:gridSpan w:val="2"/>
            <w:vAlign w:val="center"/>
          </w:tcPr>
          <w:p>
            <w:pPr>
              <w:jc w:val="center"/>
              <w:rPr>
                <w:rFonts w:ascii="宋体" w:hAnsi="宋体" w:eastAsia="宋体" w:cs="Times New Roman"/>
                <w:color w:val="auto"/>
                <w:sz w:val="24"/>
                <w:szCs w:val="21"/>
                <w:highlight w:val="none"/>
              </w:rPr>
            </w:pPr>
          </w:p>
        </w:tc>
        <w:tc>
          <w:tcPr>
            <w:tcW w:w="2031" w:type="dxa"/>
            <w:gridSpan w:val="2"/>
            <w:vAlign w:val="center"/>
          </w:tcPr>
          <w:p>
            <w:pPr>
              <w:jc w:val="center"/>
              <w:rPr>
                <w:rFonts w:ascii="宋体" w:hAnsi="宋体" w:eastAsia="宋体" w:cs="Times New Roman"/>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1749" w:type="dxa"/>
            <w:gridSpan w:val="2"/>
            <w:vAlign w:val="center"/>
          </w:tcPr>
          <w:p>
            <w:pPr>
              <w:jc w:val="center"/>
              <w:rPr>
                <w:rFonts w:ascii="宋体" w:hAnsi="宋体" w:eastAsia="宋体" w:cs="Times New Roman"/>
                <w:color w:val="auto"/>
                <w:sz w:val="24"/>
                <w:szCs w:val="21"/>
                <w:highlight w:val="none"/>
              </w:rPr>
            </w:pPr>
          </w:p>
        </w:tc>
        <w:tc>
          <w:tcPr>
            <w:tcW w:w="1822" w:type="dxa"/>
            <w:gridSpan w:val="2"/>
            <w:vAlign w:val="center"/>
          </w:tcPr>
          <w:p>
            <w:pPr>
              <w:jc w:val="center"/>
              <w:rPr>
                <w:rFonts w:ascii="宋体" w:hAnsi="宋体" w:eastAsia="宋体" w:cs="Times New Roman"/>
                <w:color w:val="auto"/>
                <w:sz w:val="24"/>
                <w:szCs w:val="21"/>
                <w:highlight w:val="none"/>
              </w:rPr>
            </w:pPr>
          </w:p>
        </w:tc>
        <w:tc>
          <w:tcPr>
            <w:tcW w:w="1640" w:type="dxa"/>
            <w:gridSpan w:val="2"/>
            <w:vAlign w:val="center"/>
          </w:tcPr>
          <w:p>
            <w:pPr>
              <w:jc w:val="center"/>
              <w:rPr>
                <w:rFonts w:ascii="宋体" w:hAnsi="宋体" w:eastAsia="宋体" w:cs="Times New Roman"/>
                <w:color w:val="auto"/>
                <w:sz w:val="24"/>
                <w:szCs w:val="21"/>
                <w:highlight w:val="none"/>
              </w:rPr>
            </w:pPr>
          </w:p>
        </w:tc>
        <w:tc>
          <w:tcPr>
            <w:tcW w:w="2005" w:type="dxa"/>
            <w:gridSpan w:val="2"/>
            <w:vAlign w:val="center"/>
          </w:tcPr>
          <w:p>
            <w:pPr>
              <w:jc w:val="center"/>
              <w:rPr>
                <w:rFonts w:ascii="宋体" w:hAnsi="宋体" w:eastAsia="宋体" w:cs="Times New Roman"/>
                <w:color w:val="auto"/>
                <w:sz w:val="24"/>
                <w:szCs w:val="21"/>
                <w:highlight w:val="none"/>
              </w:rPr>
            </w:pPr>
          </w:p>
        </w:tc>
        <w:tc>
          <w:tcPr>
            <w:tcW w:w="2031" w:type="dxa"/>
            <w:gridSpan w:val="2"/>
            <w:vAlign w:val="center"/>
          </w:tcPr>
          <w:p>
            <w:pPr>
              <w:jc w:val="center"/>
              <w:rPr>
                <w:rFonts w:ascii="宋体" w:hAnsi="宋体" w:eastAsia="宋体" w:cs="Times New Roman"/>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7" w:hRule="atLeast"/>
          <w:jc w:val="center"/>
        </w:trPr>
        <w:tc>
          <w:tcPr>
            <w:tcW w:w="1749" w:type="dxa"/>
            <w:gridSpan w:val="2"/>
            <w:vAlign w:val="center"/>
          </w:tcPr>
          <w:p>
            <w:pPr>
              <w:jc w:val="center"/>
              <w:rPr>
                <w:rFonts w:ascii="宋体" w:hAnsi="宋体" w:eastAsia="宋体" w:cs="Times New Roman"/>
                <w:color w:val="auto"/>
                <w:sz w:val="24"/>
                <w:szCs w:val="21"/>
                <w:highlight w:val="none"/>
              </w:rPr>
            </w:pPr>
          </w:p>
        </w:tc>
        <w:tc>
          <w:tcPr>
            <w:tcW w:w="1822" w:type="dxa"/>
            <w:gridSpan w:val="2"/>
            <w:vAlign w:val="center"/>
          </w:tcPr>
          <w:p>
            <w:pPr>
              <w:jc w:val="center"/>
              <w:rPr>
                <w:rFonts w:ascii="宋体" w:hAnsi="宋体" w:eastAsia="宋体" w:cs="Times New Roman"/>
                <w:color w:val="auto"/>
                <w:sz w:val="24"/>
                <w:szCs w:val="21"/>
                <w:highlight w:val="none"/>
              </w:rPr>
            </w:pPr>
          </w:p>
        </w:tc>
        <w:tc>
          <w:tcPr>
            <w:tcW w:w="1640" w:type="dxa"/>
            <w:gridSpan w:val="2"/>
            <w:vAlign w:val="center"/>
          </w:tcPr>
          <w:p>
            <w:pPr>
              <w:jc w:val="center"/>
              <w:rPr>
                <w:rFonts w:ascii="宋体" w:hAnsi="宋体" w:eastAsia="宋体" w:cs="Times New Roman"/>
                <w:color w:val="auto"/>
                <w:sz w:val="24"/>
                <w:szCs w:val="21"/>
                <w:highlight w:val="none"/>
              </w:rPr>
            </w:pPr>
          </w:p>
        </w:tc>
        <w:tc>
          <w:tcPr>
            <w:tcW w:w="2005" w:type="dxa"/>
            <w:gridSpan w:val="2"/>
            <w:vAlign w:val="center"/>
          </w:tcPr>
          <w:p>
            <w:pPr>
              <w:jc w:val="center"/>
              <w:rPr>
                <w:rFonts w:ascii="宋体" w:hAnsi="宋体" w:eastAsia="宋体" w:cs="Times New Roman"/>
                <w:color w:val="auto"/>
                <w:sz w:val="24"/>
                <w:szCs w:val="21"/>
                <w:highlight w:val="none"/>
              </w:rPr>
            </w:pPr>
          </w:p>
        </w:tc>
        <w:tc>
          <w:tcPr>
            <w:tcW w:w="2031" w:type="dxa"/>
            <w:gridSpan w:val="2"/>
            <w:vAlign w:val="center"/>
          </w:tcPr>
          <w:p>
            <w:pPr>
              <w:jc w:val="center"/>
              <w:rPr>
                <w:rFonts w:ascii="宋体" w:hAnsi="宋体" w:eastAsia="宋体" w:cs="Times New Roman"/>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6" w:hRule="atLeast"/>
          <w:jc w:val="center"/>
        </w:trPr>
        <w:tc>
          <w:tcPr>
            <w:tcW w:w="1749" w:type="dxa"/>
            <w:gridSpan w:val="2"/>
            <w:vAlign w:val="center"/>
          </w:tcPr>
          <w:p>
            <w:pPr>
              <w:jc w:val="center"/>
              <w:rPr>
                <w:rFonts w:ascii="宋体" w:hAnsi="宋体" w:eastAsia="宋体" w:cs="Times New Roman"/>
                <w:color w:val="auto"/>
                <w:sz w:val="24"/>
                <w:szCs w:val="21"/>
                <w:highlight w:val="none"/>
              </w:rPr>
            </w:pPr>
          </w:p>
        </w:tc>
        <w:tc>
          <w:tcPr>
            <w:tcW w:w="1822" w:type="dxa"/>
            <w:gridSpan w:val="2"/>
            <w:vAlign w:val="center"/>
          </w:tcPr>
          <w:p>
            <w:pPr>
              <w:jc w:val="center"/>
              <w:rPr>
                <w:rFonts w:ascii="宋体" w:hAnsi="宋体" w:eastAsia="宋体" w:cs="Times New Roman"/>
                <w:color w:val="auto"/>
                <w:sz w:val="24"/>
                <w:szCs w:val="21"/>
                <w:highlight w:val="none"/>
              </w:rPr>
            </w:pPr>
          </w:p>
        </w:tc>
        <w:tc>
          <w:tcPr>
            <w:tcW w:w="1640" w:type="dxa"/>
            <w:gridSpan w:val="2"/>
            <w:vAlign w:val="center"/>
          </w:tcPr>
          <w:p>
            <w:pPr>
              <w:jc w:val="center"/>
              <w:rPr>
                <w:rFonts w:ascii="宋体" w:hAnsi="宋体" w:eastAsia="宋体" w:cs="Times New Roman"/>
                <w:color w:val="auto"/>
                <w:sz w:val="24"/>
                <w:szCs w:val="21"/>
                <w:highlight w:val="none"/>
              </w:rPr>
            </w:pPr>
          </w:p>
        </w:tc>
        <w:tc>
          <w:tcPr>
            <w:tcW w:w="2005" w:type="dxa"/>
            <w:gridSpan w:val="2"/>
            <w:vAlign w:val="center"/>
          </w:tcPr>
          <w:p>
            <w:pPr>
              <w:jc w:val="center"/>
              <w:rPr>
                <w:rFonts w:ascii="宋体" w:hAnsi="宋体" w:eastAsia="宋体" w:cs="Times New Roman"/>
                <w:color w:val="auto"/>
                <w:sz w:val="24"/>
                <w:szCs w:val="21"/>
                <w:highlight w:val="none"/>
              </w:rPr>
            </w:pPr>
          </w:p>
        </w:tc>
        <w:tc>
          <w:tcPr>
            <w:tcW w:w="2031" w:type="dxa"/>
            <w:gridSpan w:val="2"/>
            <w:vAlign w:val="center"/>
          </w:tcPr>
          <w:p>
            <w:pPr>
              <w:jc w:val="center"/>
              <w:rPr>
                <w:rFonts w:ascii="宋体" w:hAnsi="宋体" w:eastAsia="宋体" w:cs="Times New Roman"/>
                <w:color w:val="auto"/>
                <w:sz w:val="24"/>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9" w:hRule="atLeast"/>
          <w:jc w:val="center"/>
        </w:trPr>
        <w:tc>
          <w:tcPr>
            <w:tcW w:w="9247" w:type="dxa"/>
            <w:gridSpan w:val="10"/>
            <w:tcBorders>
              <w:bottom w:val="single" w:color="auto" w:sz="4" w:space="0"/>
            </w:tcBorders>
            <w:vAlign w:val="center"/>
          </w:tcPr>
          <w:p>
            <w:pPr>
              <w:jc w:val="center"/>
              <w:rPr>
                <w:rFonts w:ascii="宋体" w:hAnsi="宋体" w:eastAsia="宋体" w:cs="Times New Roman"/>
                <w:color w:val="auto"/>
                <w:sz w:val="24"/>
                <w:szCs w:val="21"/>
                <w:highlight w:val="none"/>
              </w:rPr>
            </w:pPr>
            <w:r>
              <w:rPr>
                <w:rFonts w:hint="eastAsia" w:ascii="宋体" w:hAnsi="宋体" w:eastAsia="宋体" w:cs="Times New Roman"/>
                <w:color w:val="auto"/>
                <w:sz w:val="24"/>
                <w:szCs w:val="21"/>
                <w:highlight w:val="none"/>
              </w:rPr>
              <w:t>简      历</w:t>
            </w:r>
          </w:p>
        </w:tc>
      </w:tr>
    </w:tbl>
    <w:p>
      <w:pPr>
        <w:adjustRightInd w:val="0"/>
        <w:snapToGrid w:val="0"/>
        <w:spacing w:line="360" w:lineRule="auto"/>
        <w:ind w:firstLine="480" w:firstLineChars="200"/>
        <w:rPr>
          <w:rFonts w:ascii="宋体" w:hAnsi="宋体" w:eastAsia="宋体" w:cs="Times New Roman"/>
          <w:b/>
          <w:color w:val="auto"/>
          <w:sz w:val="24"/>
          <w:highlight w:val="none"/>
        </w:rPr>
      </w:pPr>
      <w:r>
        <w:rPr>
          <w:rFonts w:hint="eastAsia" w:ascii="宋体" w:hAnsi="宋体" w:eastAsia="宋体" w:cs="Times New Roman"/>
          <w:color w:val="auto"/>
          <w:sz w:val="24"/>
          <w:szCs w:val="21"/>
          <w:highlight w:val="none"/>
        </w:rPr>
        <w:t>注：供应商需随此表附上项目负责人的身份证、毕业证、资格证书（若有）、职称证（若有）、获奖证明（若有）等相关资料的复印件。</w:t>
      </w:r>
    </w:p>
    <w:p>
      <w:pPr>
        <w:adjustRightInd w:val="0"/>
        <w:snapToGrid w:val="0"/>
        <w:spacing w:line="360" w:lineRule="auto"/>
        <w:ind w:firstLine="482" w:firstLineChars="200"/>
        <w:jc w:val="left"/>
        <w:rPr>
          <w:rFonts w:ascii="宋体" w:hAnsi="宋体" w:eastAsia="宋体" w:cs="Times New Roman"/>
          <w:b/>
          <w:color w:val="auto"/>
          <w:sz w:val="24"/>
          <w:highlight w:val="none"/>
        </w:rPr>
      </w:pPr>
    </w:p>
    <w:p>
      <w:pPr>
        <w:spacing w:line="360" w:lineRule="auto"/>
        <w:ind w:firstLine="2" w:firstLineChars="1"/>
        <w:jc w:val="left"/>
        <w:rPr>
          <w:rFonts w:ascii="宋体" w:hAnsi="宋体" w:eastAsia="宋体" w:cs="宋体"/>
          <w:color w:val="auto"/>
          <w:sz w:val="24"/>
          <w:highlight w:val="none"/>
        </w:rPr>
      </w:pPr>
      <w:r>
        <w:rPr>
          <w:rFonts w:hint="eastAsia" w:ascii="宋体" w:hAnsi="宋体" w:eastAsia="宋体" w:cs="宋体"/>
          <w:color w:val="auto"/>
          <w:sz w:val="24"/>
          <w:highlight w:val="none"/>
        </w:rPr>
        <w:t>供应商：（盖单位公章）</w:t>
      </w:r>
    </w:p>
    <w:p>
      <w:pPr>
        <w:spacing w:line="360" w:lineRule="auto"/>
        <w:ind w:firstLine="2" w:firstLineChars="1"/>
        <w:jc w:val="left"/>
        <w:rPr>
          <w:rFonts w:ascii="宋体" w:hAnsi="宋体" w:eastAsia="宋体" w:cs="宋体"/>
          <w:color w:val="auto"/>
          <w:sz w:val="24"/>
          <w:highlight w:val="none"/>
        </w:rPr>
      </w:pPr>
      <w:r>
        <w:rPr>
          <w:rFonts w:hint="eastAsia" w:ascii="宋体" w:hAnsi="宋体" w:eastAsia="宋体" w:cs="宋体"/>
          <w:color w:val="auto"/>
          <w:sz w:val="24"/>
          <w:highlight w:val="none"/>
        </w:rPr>
        <w:t>法定代表人（负责人）或委托代理人：（签字或盖章）</w:t>
      </w:r>
    </w:p>
    <w:p>
      <w:pPr>
        <w:adjustRightInd w:val="0"/>
        <w:snapToGrid w:val="0"/>
        <w:spacing w:line="360" w:lineRule="auto"/>
        <w:jc w:val="left"/>
        <w:rPr>
          <w:rFonts w:ascii="宋体" w:hAnsi="宋体" w:eastAsia="宋体" w:cs="Times New Roman"/>
          <w:b/>
          <w:color w:val="auto"/>
          <w:sz w:val="24"/>
          <w:highlight w:val="none"/>
        </w:rPr>
      </w:pPr>
      <w:r>
        <w:rPr>
          <w:rFonts w:hint="eastAsia" w:ascii="宋体" w:hAnsi="宋体" w:eastAsia="宋体" w:cs="宋体"/>
          <w:color w:val="auto"/>
          <w:sz w:val="24"/>
          <w:highlight w:val="none"/>
        </w:rPr>
        <w:t>日期：    年    月    日</w:t>
      </w:r>
    </w:p>
    <w:p>
      <w:pPr>
        <w:adjustRightInd w:val="0"/>
        <w:snapToGrid w:val="0"/>
        <w:spacing w:line="360" w:lineRule="auto"/>
        <w:ind w:firstLine="482" w:firstLineChars="200"/>
        <w:jc w:val="left"/>
        <w:rPr>
          <w:rFonts w:ascii="宋体" w:hAnsi="宋体" w:eastAsia="宋体" w:cs="Times New Roman"/>
          <w:b/>
          <w:color w:val="auto"/>
          <w:sz w:val="24"/>
          <w:highlight w:val="none"/>
        </w:rPr>
      </w:pPr>
    </w:p>
    <w:p>
      <w:pPr>
        <w:adjustRightInd w:val="0"/>
        <w:snapToGrid w:val="0"/>
        <w:spacing w:line="360" w:lineRule="auto"/>
        <w:jc w:val="center"/>
        <w:rPr>
          <w:rFonts w:ascii="宋体" w:hAnsi="宋体" w:eastAsia="宋体" w:cs="Times New Roman"/>
          <w:b/>
          <w:color w:val="auto"/>
          <w:sz w:val="24"/>
          <w:highlight w:val="none"/>
        </w:rPr>
      </w:pPr>
      <w:r>
        <w:rPr>
          <w:rFonts w:hint="eastAsia" w:ascii="宋体" w:hAnsi="宋体" w:eastAsia="宋体" w:cs="Times New Roman"/>
          <w:b/>
          <w:color w:val="auto"/>
          <w:sz w:val="24"/>
          <w:highlight w:val="none"/>
        </w:rPr>
        <w:t>拟投入项目组人员汇总表</w:t>
      </w:r>
    </w:p>
    <w:p>
      <w:pPr>
        <w:spacing w:line="360" w:lineRule="auto"/>
        <w:ind w:right="238" w:firstLine="411" w:firstLineChars="196"/>
        <w:rPr>
          <w:rFonts w:ascii="宋体" w:hAnsi="宋体" w:eastAsia="宋体" w:cs="Times New Roman"/>
          <w:color w:val="auto"/>
          <w:szCs w:val="21"/>
          <w:highlight w:val="none"/>
        </w:rPr>
      </w:pP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559"/>
        <w:gridCol w:w="2835"/>
        <w:gridCol w:w="255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序号</w:t>
            </w:r>
          </w:p>
        </w:tc>
        <w:tc>
          <w:tcPr>
            <w:tcW w:w="1559" w:type="dxa"/>
          </w:tcPr>
          <w:p>
            <w:pPr>
              <w:spacing w:line="360" w:lineRule="auto"/>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姓名</w:t>
            </w:r>
          </w:p>
        </w:tc>
        <w:tc>
          <w:tcPr>
            <w:tcW w:w="2835" w:type="dxa"/>
          </w:tcPr>
          <w:p>
            <w:pPr>
              <w:spacing w:line="360" w:lineRule="auto"/>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职级</w:t>
            </w:r>
          </w:p>
        </w:tc>
        <w:tc>
          <w:tcPr>
            <w:tcW w:w="2552" w:type="dxa"/>
          </w:tcPr>
          <w:p>
            <w:pPr>
              <w:spacing w:line="360" w:lineRule="auto"/>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电话</w:t>
            </w:r>
          </w:p>
        </w:tc>
        <w:tc>
          <w:tcPr>
            <w:tcW w:w="1134" w:type="dxa"/>
          </w:tcPr>
          <w:p>
            <w:pPr>
              <w:spacing w:line="360" w:lineRule="auto"/>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1</w:t>
            </w:r>
          </w:p>
        </w:tc>
        <w:tc>
          <w:tcPr>
            <w:tcW w:w="1559" w:type="dxa"/>
          </w:tcPr>
          <w:p>
            <w:pPr>
              <w:spacing w:line="360" w:lineRule="auto"/>
              <w:jc w:val="center"/>
              <w:rPr>
                <w:rFonts w:ascii="宋体" w:hAnsi="宋体" w:eastAsia="宋体" w:cs="Times New Roman"/>
                <w:color w:val="auto"/>
                <w:szCs w:val="21"/>
                <w:highlight w:val="none"/>
              </w:rPr>
            </w:pPr>
          </w:p>
        </w:tc>
        <w:tc>
          <w:tcPr>
            <w:tcW w:w="2835" w:type="dxa"/>
          </w:tcPr>
          <w:p>
            <w:pPr>
              <w:spacing w:line="360" w:lineRule="auto"/>
              <w:jc w:val="center"/>
              <w:rPr>
                <w:rFonts w:ascii="宋体" w:hAnsi="宋体" w:eastAsia="宋体" w:cs="Times New Roman"/>
                <w:color w:val="auto"/>
                <w:szCs w:val="21"/>
                <w:highlight w:val="none"/>
              </w:rPr>
            </w:pPr>
          </w:p>
        </w:tc>
        <w:tc>
          <w:tcPr>
            <w:tcW w:w="2552" w:type="dxa"/>
          </w:tcPr>
          <w:p>
            <w:pPr>
              <w:spacing w:line="360" w:lineRule="auto"/>
              <w:jc w:val="center"/>
              <w:rPr>
                <w:rFonts w:ascii="宋体" w:hAnsi="宋体" w:eastAsia="宋体" w:cs="Times New Roman"/>
                <w:color w:val="auto"/>
                <w:szCs w:val="21"/>
                <w:highlight w:val="none"/>
              </w:rPr>
            </w:pPr>
          </w:p>
        </w:tc>
        <w:tc>
          <w:tcPr>
            <w:tcW w:w="1134" w:type="dxa"/>
          </w:tcPr>
          <w:p>
            <w:pPr>
              <w:spacing w:line="360" w:lineRule="auto"/>
              <w:jc w:val="center"/>
              <w:rPr>
                <w:rFonts w:ascii="宋体"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2</w:t>
            </w:r>
          </w:p>
        </w:tc>
        <w:tc>
          <w:tcPr>
            <w:tcW w:w="1559" w:type="dxa"/>
          </w:tcPr>
          <w:p>
            <w:pPr>
              <w:spacing w:line="360" w:lineRule="auto"/>
              <w:jc w:val="center"/>
              <w:rPr>
                <w:rFonts w:ascii="宋体" w:hAnsi="宋体" w:eastAsia="宋体" w:cs="Times New Roman"/>
                <w:color w:val="auto"/>
                <w:szCs w:val="21"/>
                <w:highlight w:val="none"/>
              </w:rPr>
            </w:pPr>
          </w:p>
        </w:tc>
        <w:tc>
          <w:tcPr>
            <w:tcW w:w="2835" w:type="dxa"/>
          </w:tcPr>
          <w:p>
            <w:pPr>
              <w:spacing w:line="360" w:lineRule="auto"/>
              <w:jc w:val="center"/>
              <w:rPr>
                <w:rFonts w:ascii="宋体" w:hAnsi="宋体" w:eastAsia="宋体" w:cs="Times New Roman"/>
                <w:color w:val="auto"/>
                <w:szCs w:val="21"/>
                <w:highlight w:val="none"/>
              </w:rPr>
            </w:pPr>
          </w:p>
        </w:tc>
        <w:tc>
          <w:tcPr>
            <w:tcW w:w="2552" w:type="dxa"/>
          </w:tcPr>
          <w:p>
            <w:pPr>
              <w:spacing w:line="360" w:lineRule="auto"/>
              <w:jc w:val="center"/>
              <w:rPr>
                <w:rFonts w:ascii="宋体" w:hAnsi="宋体" w:eastAsia="宋体" w:cs="Times New Roman"/>
                <w:color w:val="auto"/>
                <w:szCs w:val="21"/>
                <w:highlight w:val="none"/>
              </w:rPr>
            </w:pPr>
          </w:p>
        </w:tc>
        <w:tc>
          <w:tcPr>
            <w:tcW w:w="1134" w:type="dxa"/>
          </w:tcPr>
          <w:p>
            <w:pPr>
              <w:spacing w:line="360" w:lineRule="auto"/>
              <w:jc w:val="center"/>
              <w:rPr>
                <w:rFonts w:ascii="宋体"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3</w:t>
            </w:r>
          </w:p>
        </w:tc>
        <w:tc>
          <w:tcPr>
            <w:tcW w:w="1559" w:type="dxa"/>
          </w:tcPr>
          <w:p>
            <w:pPr>
              <w:spacing w:line="360" w:lineRule="auto"/>
              <w:jc w:val="center"/>
              <w:rPr>
                <w:rFonts w:ascii="宋体" w:hAnsi="宋体" w:eastAsia="宋体" w:cs="Times New Roman"/>
                <w:color w:val="auto"/>
                <w:szCs w:val="21"/>
                <w:highlight w:val="none"/>
              </w:rPr>
            </w:pPr>
          </w:p>
        </w:tc>
        <w:tc>
          <w:tcPr>
            <w:tcW w:w="2835" w:type="dxa"/>
          </w:tcPr>
          <w:p>
            <w:pPr>
              <w:spacing w:line="360" w:lineRule="auto"/>
              <w:jc w:val="center"/>
              <w:rPr>
                <w:rFonts w:ascii="宋体" w:hAnsi="宋体" w:eastAsia="宋体" w:cs="Times New Roman"/>
                <w:color w:val="auto"/>
                <w:szCs w:val="21"/>
                <w:highlight w:val="none"/>
              </w:rPr>
            </w:pPr>
          </w:p>
        </w:tc>
        <w:tc>
          <w:tcPr>
            <w:tcW w:w="2552" w:type="dxa"/>
          </w:tcPr>
          <w:p>
            <w:pPr>
              <w:spacing w:line="360" w:lineRule="auto"/>
              <w:jc w:val="center"/>
              <w:rPr>
                <w:rFonts w:ascii="宋体" w:hAnsi="宋体" w:eastAsia="宋体" w:cs="Times New Roman"/>
                <w:color w:val="auto"/>
                <w:szCs w:val="21"/>
                <w:highlight w:val="none"/>
              </w:rPr>
            </w:pPr>
          </w:p>
        </w:tc>
        <w:tc>
          <w:tcPr>
            <w:tcW w:w="1134" w:type="dxa"/>
          </w:tcPr>
          <w:p>
            <w:pPr>
              <w:spacing w:line="360" w:lineRule="auto"/>
              <w:jc w:val="center"/>
              <w:rPr>
                <w:rFonts w:ascii="宋体"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4</w:t>
            </w:r>
          </w:p>
        </w:tc>
        <w:tc>
          <w:tcPr>
            <w:tcW w:w="1559" w:type="dxa"/>
          </w:tcPr>
          <w:p>
            <w:pPr>
              <w:spacing w:line="360" w:lineRule="auto"/>
              <w:jc w:val="center"/>
              <w:rPr>
                <w:rFonts w:ascii="宋体" w:hAnsi="宋体" w:eastAsia="宋体" w:cs="Times New Roman"/>
                <w:color w:val="auto"/>
                <w:szCs w:val="21"/>
                <w:highlight w:val="none"/>
              </w:rPr>
            </w:pPr>
          </w:p>
        </w:tc>
        <w:tc>
          <w:tcPr>
            <w:tcW w:w="2835" w:type="dxa"/>
          </w:tcPr>
          <w:p>
            <w:pPr>
              <w:spacing w:line="360" w:lineRule="auto"/>
              <w:jc w:val="center"/>
              <w:rPr>
                <w:rFonts w:ascii="宋体" w:hAnsi="宋体" w:eastAsia="宋体" w:cs="Times New Roman"/>
                <w:color w:val="auto"/>
                <w:szCs w:val="21"/>
                <w:highlight w:val="none"/>
              </w:rPr>
            </w:pPr>
          </w:p>
        </w:tc>
        <w:tc>
          <w:tcPr>
            <w:tcW w:w="2552" w:type="dxa"/>
          </w:tcPr>
          <w:p>
            <w:pPr>
              <w:spacing w:line="360" w:lineRule="auto"/>
              <w:jc w:val="center"/>
              <w:rPr>
                <w:rFonts w:ascii="宋体" w:hAnsi="宋体" w:eastAsia="宋体" w:cs="Times New Roman"/>
                <w:color w:val="auto"/>
                <w:szCs w:val="21"/>
                <w:highlight w:val="none"/>
              </w:rPr>
            </w:pPr>
          </w:p>
        </w:tc>
        <w:tc>
          <w:tcPr>
            <w:tcW w:w="1134" w:type="dxa"/>
          </w:tcPr>
          <w:p>
            <w:pPr>
              <w:spacing w:line="360" w:lineRule="auto"/>
              <w:jc w:val="center"/>
              <w:rPr>
                <w:rFonts w:ascii="宋体" w:hAnsi="宋体" w:eastAsia="宋体" w:cs="Times New Roman"/>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line="360" w:lineRule="auto"/>
              <w:jc w:val="center"/>
              <w:rPr>
                <w:rFonts w:ascii="宋体" w:hAnsi="宋体" w:eastAsia="宋体" w:cs="Times New Roman"/>
                <w:color w:val="auto"/>
                <w:szCs w:val="21"/>
                <w:highlight w:val="none"/>
              </w:rPr>
            </w:pPr>
            <w:r>
              <w:rPr>
                <w:rFonts w:hint="eastAsia" w:ascii="宋体" w:hAnsi="宋体" w:eastAsia="宋体" w:cs="Times New Roman"/>
                <w:color w:val="auto"/>
                <w:szCs w:val="21"/>
                <w:highlight w:val="none"/>
              </w:rPr>
              <w:t>5</w:t>
            </w:r>
          </w:p>
        </w:tc>
        <w:tc>
          <w:tcPr>
            <w:tcW w:w="1559" w:type="dxa"/>
          </w:tcPr>
          <w:p>
            <w:pPr>
              <w:spacing w:line="360" w:lineRule="auto"/>
              <w:jc w:val="center"/>
              <w:rPr>
                <w:rFonts w:ascii="宋体" w:hAnsi="宋体" w:eastAsia="宋体" w:cs="Times New Roman"/>
                <w:color w:val="auto"/>
                <w:szCs w:val="21"/>
                <w:highlight w:val="none"/>
              </w:rPr>
            </w:pPr>
          </w:p>
        </w:tc>
        <w:tc>
          <w:tcPr>
            <w:tcW w:w="2835" w:type="dxa"/>
          </w:tcPr>
          <w:p>
            <w:pPr>
              <w:spacing w:line="360" w:lineRule="auto"/>
              <w:jc w:val="center"/>
              <w:rPr>
                <w:rFonts w:ascii="宋体" w:hAnsi="宋体" w:eastAsia="宋体" w:cs="Times New Roman"/>
                <w:color w:val="auto"/>
                <w:szCs w:val="21"/>
                <w:highlight w:val="none"/>
              </w:rPr>
            </w:pPr>
          </w:p>
        </w:tc>
        <w:tc>
          <w:tcPr>
            <w:tcW w:w="2552" w:type="dxa"/>
          </w:tcPr>
          <w:p>
            <w:pPr>
              <w:spacing w:line="360" w:lineRule="auto"/>
              <w:jc w:val="center"/>
              <w:rPr>
                <w:rFonts w:ascii="宋体" w:hAnsi="宋体" w:eastAsia="宋体" w:cs="Times New Roman"/>
                <w:color w:val="auto"/>
                <w:szCs w:val="21"/>
                <w:highlight w:val="none"/>
              </w:rPr>
            </w:pPr>
          </w:p>
        </w:tc>
        <w:tc>
          <w:tcPr>
            <w:tcW w:w="1134" w:type="dxa"/>
          </w:tcPr>
          <w:p>
            <w:pPr>
              <w:spacing w:line="360" w:lineRule="auto"/>
              <w:jc w:val="center"/>
              <w:rPr>
                <w:rFonts w:ascii="宋体" w:hAnsi="宋体" w:eastAsia="宋体" w:cs="Times New Roman"/>
                <w:color w:val="auto"/>
                <w:szCs w:val="21"/>
                <w:highlight w:val="none"/>
              </w:rPr>
            </w:pPr>
          </w:p>
        </w:tc>
      </w:tr>
    </w:tbl>
    <w:p>
      <w:pPr>
        <w:pStyle w:val="28"/>
        <w:rPr>
          <w:rFonts w:ascii="宋体" w:hAnsi="宋体" w:eastAsia="宋体" w:cs="Arial"/>
          <w:color w:val="auto"/>
          <w:szCs w:val="21"/>
          <w:highlight w:val="none"/>
        </w:rPr>
      </w:pPr>
      <w:r>
        <w:rPr>
          <w:rFonts w:hint="eastAsia" w:ascii="宋体" w:hAnsi="宋体" w:eastAsia="宋体" w:cs="Arial"/>
          <w:color w:val="auto"/>
          <w:szCs w:val="21"/>
          <w:highlight w:val="none"/>
        </w:rPr>
        <w:t>注：人员包含拟投入本项目的各专业工作人员，并附相应人员的身份证、</w:t>
      </w:r>
      <w:r>
        <w:rPr>
          <w:rFonts w:hint="eastAsia" w:ascii="宋体" w:hAnsi="宋体" w:eastAsia="宋体" w:cs="Times New Roman"/>
          <w:color w:val="auto"/>
          <w:szCs w:val="21"/>
          <w:highlight w:val="none"/>
        </w:rPr>
        <w:t>毕业证</w:t>
      </w:r>
      <w:r>
        <w:rPr>
          <w:rFonts w:hint="eastAsia" w:ascii="宋体" w:hAnsi="宋体" w:eastAsia="宋体" w:cs="Arial"/>
          <w:color w:val="auto"/>
          <w:szCs w:val="21"/>
          <w:highlight w:val="none"/>
        </w:rPr>
        <w:t>（若有）</w:t>
      </w:r>
      <w:r>
        <w:rPr>
          <w:rFonts w:hint="eastAsia" w:ascii="宋体" w:hAnsi="宋体" w:eastAsia="宋体" w:cs="Times New Roman"/>
          <w:color w:val="auto"/>
          <w:szCs w:val="21"/>
          <w:highlight w:val="none"/>
        </w:rPr>
        <w:t>、</w:t>
      </w:r>
      <w:r>
        <w:rPr>
          <w:rFonts w:hint="eastAsia" w:ascii="宋体" w:hAnsi="宋体" w:eastAsia="宋体" w:cs="Times New Roman"/>
          <w:color w:val="auto"/>
          <w:szCs w:val="21"/>
          <w:highlight w:val="none"/>
        </w:rPr>
        <w:t>个人健康证、</w:t>
      </w:r>
      <w:r>
        <w:rPr>
          <w:rFonts w:hint="eastAsia" w:ascii="宋体" w:hAnsi="宋体" w:eastAsia="宋体" w:cs="Arial"/>
          <w:color w:val="auto"/>
          <w:szCs w:val="21"/>
          <w:highlight w:val="none"/>
        </w:rPr>
        <w:t>资格证书（若有）、</w:t>
      </w:r>
      <w:r>
        <w:rPr>
          <w:rFonts w:hint="eastAsia" w:ascii="宋体" w:hAnsi="宋体" w:eastAsia="宋体" w:cs="Times New Roman"/>
          <w:color w:val="auto"/>
          <w:szCs w:val="21"/>
          <w:highlight w:val="none"/>
        </w:rPr>
        <w:t>职称证（若有）、获奖证书（若有）等相关资料的复印件</w:t>
      </w:r>
      <w:r>
        <w:rPr>
          <w:rFonts w:hint="eastAsia" w:ascii="宋体" w:hAnsi="宋体" w:eastAsia="宋体" w:cs="Arial"/>
          <w:color w:val="auto"/>
          <w:szCs w:val="21"/>
          <w:highlight w:val="none"/>
        </w:rPr>
        <w:t>。</w:t>
      </w:r>
    </w:p>
    <w:p>
      <w:pPr>
        <w:pStyle w:val="28"/>
        <w:rPr>
          <w:rFonts w:ascii="宋体" w:hAnsi="宋体" w:eastAsia="宋体" w:cs="Arial"/>
          <w:color w:val="auto"/>
          <w:szCs w:val="21"/>
          <w:highlight w:val="none"/>
        </w:rPr>
      </w:pPr>
    </w:p>
    <w:p>
      <w:pPr>
        <w:pStyle w:val="28"/>
        <w:rPr>
          <w:rFonts w:ascii="宋体" w:hAnsi="宋体" w:eastAsia="宋体" w:cs="Arial"/>
          <w:color w:val="auto"/>
          <w:szCs w:val="21"/>
          <w:highlight w:val="none"/>
        </w:rPr>
      </w:pPr>
    </w:p>
    <w:p>
      <w:pPr>
        <w:spacing w:line="360" w:lineRule="auto"/>
        <w:jc w:val="left"/>
        <w:rPr>
          <w:rFonts w:ascii="宋体" w:hAnsi="Times New Roman" w:eastAsia="宋体" w:cs="Times New Roman"/>
          <w:color w:val="auto"/>
          <w:sz w:val="28"/>
          <w:szCs w:val="28"/>
          <w:highlight w:val="none"/>
        </w:rPr>
      </w:pPr>
      <w:r>
        <w:rPr>
          <w:rFonts w:hint="eastAsia" w:ascii="宋体" w:hAnsi="Times New Roman" w:eastAsia="宋体" w:cs="Times New Roman"/>
          <w:color w:val="auto"/>
          <w:sz w:val="28"/>
          <w:szCs w:val="28"/>
          <w:highlight w:val="none"/>
        </w:rPr>
        <w:t>供应商：（盖单位公章）</w:t>
      </w:r>
    </w:p>
    <w:p>
      <w:pPr>
        <w:spacing w:line="360" w:lineRule="auto"/>
        <w:rPr>
          <w:rFonts w:ascii="宋体" w:hAnsi="Times New Roman" w:eastAsia="宋体" w:cs="Times New Roman"/>
          <w:color w:val="auto"/>
          <w:sz w:val="28"/>
          <w:szCs w:val="28"/>
          <w:highlight w:val="none"/>
        </w:rPr>
      </w:pPr>
      <w:r>
        <w:rPr>
          <w:rFonts w:hint="eastAsia" w:ascii="宋体" w:hAnsi="Times New Roman" w:eastAsia="宋体" w:cs="Times New Roman"/>
          <w:color w:val="auto"/>
          <w:sz w:val="28"/>
          <w:szCs w:val="28"/>
          <w:highlight w:val="none"/>
        </w:rPr>
        <w:t>法定代表人或其委托代理人：（签字或盖章）</w:t>
      </w:r>
    </w:p>
    <w:p>
      <w:pPr>
        <w:pStyle w:val="9"/>
        <w:ind w:left="0" w:leftChars="0" w:right="1470"/>
        <w:rPr>
          <w:color w:val="auto"/>
          <w:sz w:val="24"/>
          <w:highlight w:val="none"/>
        </w:rPr>
      </w:pPr>
      <w:r>
        <w:rPr>
          <w:rFonts w:hint="eastAsia" w:ascii="Times New Roman" w:hAnsi="Times New Roman" w:eastAsia="宋体" w:cs="Times New Roman"/>
          <w:color w:val="auto"/>
          <w:sz w:val="28"/>
          <w:szCs w:val="28"/>
          <w:highlight w:val="none"/>
        </w:rPr>
        <w:t>日期：年月日</w:t>
      </w:r>
    </w:p>
    <w:p>
      <w:pPr>
        <w:pStyle w:val="9"/>
        <w:ind w:left="0" w:leftChars="0" w:right="1470"/>
        <w:rPr>
          <w:color w:val="auto"/>
          <w:sz w:val="24"/>
          <w:highlight w:val="none"/>
        </w:rPr>
      </w:pPr>
    </w:p>
    <w:p>
      <w:pPr>
        <w:pStyle w:val="9"/>
        <w:ind w:left="0" w:leftChars="0" w:right="1470"/>
        <w:rPr>
          <w:color w:val="auto"/>
          <w:sz w:val="24"/>
          <w:highlight w:val="none"/>
        </w:rPr>
      </w:pPr>
    </w:p>
    <w:p>
      <w:pPr>
        <w:pStyle w:val="9"/>
        <w:ind w:left="0" w:leftChars="0" w:right="1470"/>
        <w:rPr>
          <w:color w:val="auto"/>
          <w:sz w:val="24"/>
          <w:highlight w:val="none"/>
        </w:rPr>
      </w:pPr>
    </w:p>
    <w:p>
      <w:pPr>
        <w:pStyle w:val="9"/>
        <w:ind w:left="0" w:leftChars="0" w:right="1470"/>
        <w:rPr>
          <w:color w:val="auto"/>
          <w:sz w:val="24"/>
          <w:highlight w:val="none"/>
        </w:rPr>
        <w:sectPr>
          <w:pgSz w:w="11906" w:h="16838"/>
          <w:pgMar w:top="1440" w:right="1588" w:bottom="1440" w:left="1588" w:header="851" w:footer="992" w:gutter="0"/>
          <w:cols w:space="720" w:num="1"/>
          <w:docGrid w:type="lines" w:linePitch="312" w:charSpace="0"/>
        </w:sectPr>
      </w:pPr>
    </w:p>
    <w:bookmarkEnd w:id="190"/>
    <w:bookmarkEnd w:id="191"/>
    <w:bookmarkEnd w:id="192"/>
    <w:bookmarkEnd w:id="193"/>
    <w:p>
      <w:pPr>
        <w:pStyle w:val="4"/>
        <w:jc w:val="center"/>
        <w:rPr>
          <w:rFonts w:ascii="Times New Roman" w:hAnsi="Times New Roman" w:eastAsia="宋体" w:cs="Times New Roman"/>
          <w:color w:val="auto"/>
          <w:sz w:val="24"/>
          <w:highlight w:val="none"/>
        </w:rPr>
      </w:pPr>
      <w:bookmarkStart w:id="195" w:name="_Toc5966_WPSOffice_Level3"/>
      <w:bookmarkStart w:id="196" w:name="_Toc11622"/>
      <w:r>
        <w:rPr>
          <w:rFonts w:ascii="Times New Roman" w:hAnsi="Times New Roman" w:eastAsia="宋体" w:cs="Times New Roman"/>
          <w:color w:val="auto"/>
          <w:highlight w:val="none"/>
        </w:rPr>
        <w:t>4.</w:t>
      </w:r>
      <w:bookmarkEnd w:id="195"/>
      <w:r>
        <w:rPr>
          <w:rFonts w:hint="eastAsia" w:ascii="Times New Roman" w:hAnsi="Times New Roman" w:eastAsia="宋体" w:cs="Times New Roman"/>
          <w:color w:val="auto"/>
          <w:highlight w:val="none"/>
        </w:rPr>
        <w:t>10</w:t>
      </w:r>
      <w:r>
        <w:rPr>
          <w:rFonts w:ascii="Times New Roman" w:hAnsi="Times New Roman" w:eastAsia="宋体" w:cs="Times New Roman"/>
          <w:color w:val="auto"/>
          <w:szCs w:val="32"/>
          <w:highlight w:val="none"/>
        </w:rPr>
        <w:t>构成响应文件的其他资料</w:t>
      </w:r>
      <w:bookmarkEnd w:id="196"/>
    </w:p>
    <w:p>
      <w:pPr>
        <w:rPr>
          <w:rFonts w:ascii="Times New Roman" w:hAnsi="Times New Roman" w:eastAsia="宋体" w:cs="Times New Roman"/>
          <w:color w:val="auto"/>
          <w:sz w:val="24"/>
          <w:highlight w:val="none"/>
        </w:rPr>
      </w:pPr>
      <w:bookmarkStart w:id="197" w:name="_Toc413157581"/>
      <w:bookmarkStart w:id="198" w:name="_Toc424045121"/>
    </w:p>
    <w:bookmarkEnd w:id="197"/>
    <w:bookmarkEnd w:id="198"/>
    <w:p>
      <w:pPr>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磋商文件中所涉及到的相关资料及证明文件或供应商认为必须提供的其他相关资料</w:t>
      </w:r>
      <w:r>
        <w:rPr>
          <w:rFonts w:hint="eastAsia" w:ascii="Times New Roman" w:hAnsi="Times New Roman" w:eastAsia="宋体" w:cs="Times New Roman"/>
          <w:color w:val="auto"/>
          <w:sz w:val="24"/>
          <w:highlight w:val="none"/>
        </w:rPr>
        <w:t>。</w:t>
      </w:r>
    </w:p>
    <w:p>
      <w:pPr>
        <w:pStyle w:val="21"/>
        <w:ind w:firstLine="0" w:firstLineChars="0"/>
        <w:rPr>
          <w:color w:val="auto"/>
          <w:highlight w:val="none"/>
        </w:rPr>
      </w:pPr>
    </w:p>
    <w:p>
      <w:pPr>
        <w:spacing w:line="360" w:lineRule="auto"/>
        <w:jc w:val="left"/>
        <w:rPr>
          <w:rFonts w:ascii="宋体" w:hAnsi="Times New Roman" w:eastAsia="宋体" w:cs="Times New Roman"/>
          <w:color w:val="auto"/>
          <w:sz w:val="28"/>
          <w:szCs w:val="28"/>
          <w:highlight w:val="none"/>
        </w:rPr>
      </w:pPr>
      <w:r>
        <w:rPr>
          <w:rFonts w:hint="eastAsia" w:ascii="宋体" w:hAnsi="Times New Roman" w:eastAsia="宋体" w:cs="Times New Roman"/>
          <w:color w:val="auto"/>
          <w:sz w:val="28"/>
          <w:szCs w:val="28"/>
          <w:highlight w:val="none"/>
        </w:rPr>
        <w:t>供应商：（盖单位公章）</w:t>
      </w:r>
    </w:p>
    <w:p>
      <w:pPr>
        <w:spacing w:line="360" w:lineRule="auto"/>
        <w:rPr>
          <w:rFonts w:ascii="宋体" w:hAnsi="Times New Roman" w:eastAsia="宋体" w:cs="Times New Roman"/>
          <w:color w:val="auto"/>
          <w:sz w:val="28"/>
          <w:szCs w:val="28"/>
          <w:highlight w:val="none"/>
        </w:rPr>
      </w:pPr>
      <w:r>
        <w:rPr>
          <w:rFonts w:hint="eastAsia" w:ascii="宋体" w:hAnsi="Times New Roman" w:eastAsia="宋体" w:cs="Times New Roman"/>
          <w:color w:val="auto"/>
          <w:sz w:val="28"/>
          <w:szCs w:val="28"/>
          <w:highlight w:val="none"/>
        </w:rPr>
        <w:t>法定代表人或其委托代理人：（签字或盖章）</w:t>
      </w:r>
    </w:p>
    <w:p>
      <w:pPr>
        <w:pStyle w:val="21"/>
        <w:ind w:firstLine="0" w:firstLineChars="0"/>
        <w:rPr>
          <w:color w:val="auto"/>
          <w:highlight w:val="none"/>
        </w:rPr>
      </w:pPr>
      <w:r>
        <w:rPr>
          <w:rFonts w:hint="eastAsia" w:ascii="Times New Roman" w:hAnsi="Times New Roman" w:eastAsia="宋体" w:cs="Times New Roman"/>
          <w:color w:val="auto"/>
          <w:szCs w:val="28"/>
          <w:highlight w:val="none"/>
        </w:rPr>
        <w:t>日期：年月日</w:t>
      </w:r>
    </w:p>
    <w:p>
      <w:pPr>
        <w:pStyle w:val="21"/>
        <w:ind w:firstLine="0" w:firstLineChars="0"/>
        <w:rPr>
          <w:color w:val="auto"/>
          <w:highlight w:val="none"/>
        </w:rPr>
      </w:pPr>
    </w:p>
    <w:p>
      <w:pPr>
        <w:adjustRightInd w:val="0"/>
        <w:snapToGrid w:val="0"/>
        <w:spacing w:line="400" w:lineRule="exact"/>
        <w:ind w:left="-88" w:leftChars="-42" w:firstLine="133" w:firstLineChars="50"/>
        <w:rPr>
          <w:rFonts w:ascii="宋体" w:hAnsi="宋体" w:eastAsia="宋体" w:cs="宋体"/>
          <w:color w:val="auto"/>
          <w:spacing w:val="28"/>
          <w:szCs w:val="21"/>
          <w:highlight w:val="none"/>
        </w:rPr>
        <w:sectPr>
          <w:pgSz w:w="11906" w:h="16838"/>
          <w:pgMar w:top="1440" w:right="1800" w:bottom="1440" w:left="1800" w:header="851" w:footer="992" w:gutter="0"/>
          <w:cols w:space="425" w:num="1"/>
          <w:docGrid w:type="lines" w:linePitch="312" w:charSpace="0"/>
        </w:sectPr>
      </w:pPr>
    </w:p>
    <w:p>
      <w:pPr>
        <w:pStyle w:val="4"/>
        <w:jc w:val="center"/>
        <w:rPr>
          <w:rFonts w:ascii="宋体" w:hAnsi="宋体" w:eastAsia="宋体" w:cs="Times New Roman"/>
          <w:bCs/>
          <w:color w:val="auto"/>
          <w:szCs w:val="20"/>
          <w:highlight w:val="none"/>
        </w:rPr>
      </w:pPr>
      <w:bookmarkStart w:id="199" w:name="_Toc25834"/>
      <w:r>
        <w:rPr>
          <w:rFonts w:ascii="Times New Roman" w:hAnsi="Times New Roman" w:eastAsia="宋体" w:cs="Times New Roman"/>
          <w:color w:val="auto"/>
          <w:highlight w:val="none"/>
        </w:rPr>
        <w:t>4.</w:t>
      </w:r>
      <w:r>
        <w:rPr>
          <w:rFonts w:hint="eastAsia" w:ascii="Times New Roman" w:hAnsi="Times New Roman" w:eastAsia="宋体" w:cs="Times New Roman"/>
          <w:color w:val="auto"/>
          <w:highlight w:val="none"/>
        </w:rPr>
        <w:t>11</w:t>
      </w:r>
      <w:r>
        <w:rPr>
          <w:rFonts w:ascii="Times New Roman" w:hAnsi="Times New Roman" w:eastAsia="宋体" w:cs="Times New Roman"/>
          <w:color w:val="auto"/>
          <w:highlight w:val="none"/>
        </w:rPr>
        <w:t xml:space="preserve"> </w:t>
      </w:r>
      <w:bookmarkStart w:id="200" w:name="_Toc32546"/>
      <w:r>
        <w:rPr>
          <w:rFonts w:ascii="Times New Roman" w:hAnsi="Times New Roman" w:eastAsia="宋体" w:cs="Times New Roman"/>
          <w:color w:val="auto"/>
          <w:highlight w:val="none"/>
        </w:rPr>
        <w:t>中小企业</w:t>
      </w:r>
      <w:bookmarkEnd w:id="200"/>
      <w:r>
        <w:rPr>
          <w:rFonts w:ascii="Times New Roman" w:hAnsi="Times New Roman" w:eastAsia="宋体" w:cs="Times New Roman"/>
          <w:color w:val="auto"/>
          <w:highlight w:val="none"/>
        </w:rPr>
        <w:t>声明函</w:t>
      </w:r>
      <w:bookmarkEnd w:id="199"/>
    </w:p>
    <w:p>
      <w:pPr>
        <w:pStyle w:val="9"/>
        <w:ind w:left="1470" w:right="1470"/>
        <w:rPr>
          <w:rFonts w:ascii="宋体" w:hAnsi="宋体" w:eastAsia="宋体" w:cs="Times New Roman"/>
          <w:b/>
          <w:bCs/>
          <w:color w:val="auto"/>
          <w:sz w:val="24"/>
          <w:szCs w:val="20"/>
          <w:highlight w:val="none"/>
        </w:rPr>
      </w:pPr>
    </w:p>
    <w:p>
      <w:pPr>
        <w:spacing w:line="360" w:lineRule="auto"/>
        <w:ind w:firstLine="562" w:firstLineChars="200"/>
        <w:jc w:val="center"/>
        <w:rPr>
          <w:rFonts w:ascii="仿宋_GB2312" w:eastAsia="仿宋_GB2312"/>
          <w:b/>
          <w:color w:val="auto"/>
          <w:szCs w:val="21"/>
          <w:highlight w:val="none"/>
        </w:rPr>
      </w:pPr>
      <w:r>
        <w:rPr>
          <w:rFonts w:hint="eastAsia" w:ascii="宋体"/>
          <w:b/>
          <w:color w:val="auto"/>
          <w:sz w:val="28"/>
          <w:szCs w:val="28"/>
          <w:highlight w:val="none"/>
        </w:rPr>
        <w:t>中小企业声明函</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本公司郑重声明，根据《政府采购促进中小企业发展管理办法》（财库﹝2020﹞46号）的规定，本公司参加</w:t>
      </w:r>
      <w:r>
        <w:rPr>
          <w:rFonts w:hint="eastAsia" w:ascii="宋体" w:hAnsi="宋体"/>
          <w:color w:val="auto"/>
          <w:sz w:val="24"/>
          <w:highlight w:val="none"/>
          <w:u w:val="single"/>
        </w:rPr>
        <w:t>（单位名称）</w:t>
      </w:r>
      <w:r>
        <w:rPr>
          <w:rFonts w:hint="eastAsia" w:ascii="宋体" w:hAnsi="宋体"/>
          <w:color w:val="auto"/>
          <w:sz w:val="24"/>
          <w:highlight w:val="none"/>
        </w:rPr>
        <w:t>的</w:t>
      </w:r>
      <w:r>
        <w:rPr>
          <w:rFonts w:hint="eastAsia" w:ascii="宋体" w:hAnsi="宋体"/>
          <w:color w:val="auto"/>
          <w:sz w:val="24"/>
          <w:highlight w:val="none"/>
          <w:u w:val="single"/>
        </w:rPr>
        <w:t>（项目名称）</w:t>
      </w:r>
      <w:r>
        <w:rPr>
          <w:rFonts w:hint="eastAsia" w:ascii="宋体" w:hAnsi="宋体"/>
          <w:color w:val="auto"/>
          <w:sz w:val="24"/>
          <w:highlight w:val="none"/>
        </w:rPr>
        <w:t>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w:t>
      </w:r>
      <w:r>
        <w:rPr>
          <w:rFonts w:hint="eastAsia" w:ascii="宋体" w:hAnsi="宋体"/>
          <w:color w:val="auto"/>
          <w:sz w:val="24"/>
          <w:highlight w:val="none"/>
          <w:u w:val="single"/>
        </w:rPr>
        <w:t>（标的名称）</w:t>
      </w:r>
      <w:r>
        <w:rPr>
          <w:rFonts w:hint="eastAsia" w:ascii="宋体" w:hAnsi="宋体"/>
          <w:color w:val="auto"/>
          <w:sz w:val="24"/>
          <w:highlight w:val="none"/>
        </w:rPr>
        <w:t>，属于</w:t>
      </w:r>
      <w:r>
        <w:rPr>
          <w:rFonts w:hint="eastAsia" w:ascii="宋体" w:hAnsi="宋体"/>
          <w:color w:val="auto"/>
          <w:sz w:val="24"/>
          <w:highlight w:val="none"/>
          <w:u w:val="single"/>
        </w:rPr>
        <w:t>（采购文件中明确的所属行业）行业</w:t>
      </w:r>
      <w:r>
        <w:rPr>
          <w:rFonts w:hint="eastAsia" w:ascii="宋体" w:hAnsi="宋体"/>
          <w:color w:val="auto"/>
          <w:sz w:val="24"/>
          <w:highlight w:val="none"/>
        </w:rPr>
        <w:t>；制造商为</w:t>
      </w:r>
      <w:r>
        <w:rPr>
          <w:rFonts w:hint="eastAsia" w:ascii="宋体" w:hAnsi="宋体"/>
          <w:color w:val="auto"/>
          <w:sz w:val="24"/>
          <w:highlight w:val="none"/>
          <w:u w:val="single"/>
        </w:rPr>
        <w:t>（企业名称）</w:t>
      </w:r>
      <w:r>
        <w:rPr>
          <w:rFonts w:hint="eastAsia" w:ascii="宋体" w:hAnsi="宋体"/>
          <w:color w:val="auto"/>
          <w:sz w:val="24"/>
          <w:highlight w:val="none"/>
        </w:rPr>
        <w:t>，从业人员人，营业收入为万元，资产总额为万元，属于</w:t>
      </w:r>
      <w:r>
        <w:rPr>
          <w:rFonts w:hint="eastAsia" w:ascii="宋体" w:hAnsi="宋体"/>
          <w:color w:val="auto"/>
          <w:sz w:val="24"/>
          <w:highlight w:val="none"/>
          <w:u w:val="single"/>
        </w:rPr>
        <w:t>（中型企业、小型企业、微型企业）</w:t>
      </w:r>
      <w:r>
        <w:rPr>
          <w:rFonts w:hint="eastAsia" w:ascii="宋体" w:hAnsi="宋体"/>
          <w:color w:val="auto"/>
          <w:sz w:val="24"/>
          <w:highlight w:val="none"/>
        </w:rPr>
        <w:t>；</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w:t>
      </w:r>
      <w:r>
        <w:rPr>
          <w:rFonts w:hint="eastAsia" w:ascii="宋体" w:hAnsi="宋体"/>
          <w:color w:val="auto"/>
          <w:sz w:val="24"/>
          <w:highlight w:val="none"/>
          <w:u w:val="single"/>
        </w:rPr>
        <w:t>（标的名称）</w:t>
      </w:r>
      <w:r>
        <w:rPr>
          <w:rFonts w:hint="eastAsia" w:ascii="宋体" w:hAnsi="宋体"/>
          <w:color w:val="auto"/>
          <w:sz w:val="24"/>
          <w:highlight w:val="none"/>
        </w:rPr>
        <w:t>，属于</w:t>
      </w:r>
      <w:r>
        <w:rPr>
          <w:rFonts w:hint="eastAsia" w:ascii="宋体" w:hAnsi="宋体"/>
          <w:color w:val="auto"/>
          <w:sz w:val="24"/>
          <w:highlight w:val="none"/>
          <w:u w:val="single"/>
        </w:rPr>
        <w:t>（采购文件中明确的所属行业）行业</w:t>
      </w:r>
      <w:r>
        <w:rPr>
          <w:rFonts w:hint="eastAsia" w:ascii="宋体" w:hAnsi="宋体"/>
          <w:color w:val="auto"/>
          <w:sz w:val="24"/>
          <w:highlight w:val="none"/>
        </w:rPr>
        <w:t>；制造商为</w:t>
      </w:r>
      <w:r>
        <w:rPr>
          <w:rFonts w:hint="eastAsia" w:ascii="宋体" w:hAnsi="宋体"/>
          <w:color w:val="auto"/>
          <w:sz w:val="24"/>
          <w:highlight w:val="none"/>
          <w:u w:val="single"/>
        </w:rPr>
        <w:t>（企业名称）</w:t>
      </w:r>
      <w:r>
        <w:rPr>
          <w:rFonts w:hint="eastAsia" w:ascii="宋体" w:hAnsi="宋体"/>
          <w:color w:val="auto"/>
          <w:sz w:val="24"/>
          <w:highlight w:val="none"/>
        </w:rPr>
        <w:t>，从业人员人，营业收入为万元，资产总额为万元，属于</w:t>
      </w:r>
      <w:r>
        <w:rPr>
          <w:rFonts w:hint="eastAsia" w:ascii="宋体" w:hAnsi="宋体"/>
          <w:color w:val="auto"/>
          <w:sz w:val="24"/>
          <w:highlight w:val="none"/>
          <w:u w:val="single"/>
        </w:rPr>
        <w:t>（中型企业、小型企业、微型企业）</w:t>
      </w:r>
      <w:r>
        <w:rPr>
          <w:rFonts w:hint="eastAsia" w:ascii="宋体" w:hAnsi="宋体"/>
          <w:color w:val="auto"/>
          <w:sz w:val="24"/>
          <w:highlight w:val="none"/>
        </w:rPr>
        <w:t>；</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本企业对上述声明内容的真实性负责。如有虚假，将依法承担相应责任。</w:t>
      </w:r>
    </w:p>
    <w:p>
      <w:pPr>
        <w:spacing w:line="360" w:lineRule="auto"/>
        <w:ind w:firstLine="420" w:firstLineChars="200"/>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rPr>
          <w:rFonts w:ascii="宋体" w:hAnsi="宋体"/>
          <w:color w:val="auto"/>
          <w:szCs w:val="21"/>
          <w:highlight w:val="none"/>
        </w:rPr>
      </w:pPr>
    </w:p>
    <w:p>
      <w:pPr>
        <w:spacing w:line="360" w:lineRule="auto"/>
        <w:jc w:val="left"/>
        <w:rPr>
          <w:rFonts w:ascii="宋体" w:hAnsi="Times New Roman" w:eastAsia="宋体" w:cs="Times New Roman"/>
          <w:color w:val="auto"/>
          <w:sz w:val="24"/>
          <w:highlight w:val="none"/>
        </w:rPr>
      </w:pPr>
      <w:r>
        <w:rPr>
          <w:rFonts w:hint="eastAsia" w:ascii="宋体" w:hAnsi="Times New Roman" w:eastAsia="宋体" w:cs="Times New Roman"/>
          <w:color w:val="auto"/>
          <w:sz w:val="24"/>
          <w:highlight w:val="none"/>
        </w:rPr>
        <w:t>企业名称：</w:t>
      </w:r>
      <w:r>
        <w:rPr>
          <w:rFonts w:hint="eastAsia" w:ascii="宋体" w:hAnsi="Times New Roman" w:eastAsia="宋体" w:cs="Times New Roman"/>
          <w:color w:val="auto"/>
          <w:sz w:val="24"/>
          <w:highlight w:val="none"/>
          <w:u w:val="single"/>
        </w:rPr>
        <w:t xml:space="preserve">                                 </w:t>
      </w:r>
      <w:r>
        <w:rPr>
          <w:rFonts w:hint="eastAsia" w:ascii="宋体" w:hAnsi="Times New Roman" w:eastAsia="宋体" w:cs="Times New Roman"/>
          <w:color w:val="auto"/>
          <w:sz w:val="24"/>
          <w:highlight w:val="none"/>
        </w:rPr>
        <w:t>（盖单位公章）</w:t>
      </w:r>
    </w:p>
    <w:p>
      <w:pPr>
        <w:pStyle w:val="9"/>
        <w:ind w:left="1470" w:right="1470"/>
        <w:rPr>
          <w:color w:val="auto"/>
          <w:highlight w:val="none"/>
        </w:rPr>
      </w:pPr>
    </w:p>
    <w:p>
      <w:pPr>
        <w:pStyle w:val="9"/>
        <w:ind w:left="0" w:leftChars="0" w:right="147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日期：</w:t>
      </w:r>
      <w:r>
        <w:rPr>
          <w:rFonts w:hint="eastAsia" w:ascii="Times New Roman" w:hAnsi="Times New Roman" w:eastAsia="宋体" w:cs="Times New Roman"/>
          <w:color w:val="auto"/>
          <w:sz w:val="24"/>
          <w:highlight w:val="none"/>
          <w:u w:val="single"/>
        </w:rPr>
        <w:t xml:space="preserve">            </w:t>
      </w:r>
      <w:r>
        <w:rPr>
          <w:rFonts w:hint="eastAsia" w:ascii="Times New Roman" w:hAnsi="Times New Roman" w:eastAsia="宋体" w:cs="Times New Roman"/>
          <w:color w:val="auto"/>
          <w:sz w:val="24"/>
          <w:highlight w:val="none"/>
        </w:rPr>
        <w:t>年</w:t>
      </w:r>
      <w:r>
        <w:rPr>
          <w:rFonts w:hint="eastAsia" w:ascii="Times New Roman" w:hAnsi="Times New Roman" w:eastAsia="宋体" w:cs="Times New Roman"/>
          <w:color w:val="auto"/>
          <w:sz w:val="24"/>
          <w:highlight w:val="none"/>
          <w:u w:val="single"/>
        </w:rPr>
        <w:t xml:space="preserve">       </w:t>
      </w:r>
      <w:r>
        <w:rPr>
          <w:rFonts w:hint="eastAsia" w:ascii="Times New Roman" w:hAnsi="Times New Roman" w:eastAsia="宋体" w:cs="Times New Roman"/>
          <w:color w:val="auto"/>
          <w:sz w:val="24"/>
          <w:highlight w:val="none"/>
        </w:rPr>
        <w:t>月</w:t>
      </w:r>
      <w:r>
        <w:rPr>
          <w:rFonts w:hint="eastAsia" w:ascii="Times New Roman" w:hAnsi="Times New Roman" w:eastAsia="宋体" w:cs="Times New Roman"/>
          <w:color w:val="auto"/>
          <w:sz w:val="24"/>
          <w:highlight w:val="none"/>
          <w:u w:val="single"/>
        </w:rPr>
        <w:t xml:space="preserve">       </w:t>
      </w:r>
      <w:r>
        <w:rPr>
          <w:rFonts w:hint="eastAsia" w:ascii="Times New Roman" w:hAnsi="Times New Roman" w:eastAsia="宋体" w:cs="Times New Roman"/>
          <w:color w:val="auto"/>
          <w:sz w:val="24"/>
          <w:highlight w:val="none"/>
        </w:rPr>
        <w:t>日</w:t>
      </w:r>
    </w:p>
    <w:p>
      <w:pPr>
        <w:pStyle w:val="9"/>
        <w:ind w:left="0" w:leftChars="0" w:right="1470"/>
        <w:rPr>
          <w:rFonts w:ascii="Times New Roman" w:hAnsi="Times New Roman" w:eastAsia="宋体" w:cs="Times New Roman"/>
          <w:color w:val="auto"/>
          <w:sz w:val="24"/>
          <w:highlight w:val="none"/>
        </w:rPr>
      </w:pPr>
    </w:p>
    <w:p>
      <w:pPr>
        <w:pStyle w:val="9"/>
        <w:ind w:left="0" w:leftChars="0" w:right="1470"/>
        <w:rPr>
          <w:rFonts w:ascii="宋体" w:hAnsi="宋体"/>
          <w:color w:val="auto"/>
          <w:sz w:val="24"/>
          <w:highlight w:val="none"/>
        </w:rPr>
      </w:pPr>
      <w:r>
        <w:rPr>
          <w:rFonts w:hint="eastAsia" w:ascii="宋体" w:hAnsi="宋体"/>
          <w:color w:val="auto"/>
          <w:sz w:val="24"/>
          <w:highlight w:val="none"/>
        </w:rPr>
        <w:t>注：从业人员、营业收入、资产总额填报上一年度数据，无上一年度数据的新成立企业可不填报。</w:t>
      </w:r>
    </w:p>
    <w:p>
      <w:pPr>
        <w:pStyle w:val="9"/>
        <w:ind w:left="0" w:leftChars="0" w:right="1470"/>
        <w:rPr>
          <w:rFonts w:ascii="宋体" w:hAnsi="宋体"/>
          <w:color w:val="auto"/>
          <w:sz w:val="24"/>
          <w:highlight w:val="none"/>
        </w:rPr>
      </w:pPr>
    </w:p>
    <w:p>
      <w:pPr>
        <w:pStyle w:val="9"/>
        <w:ind w:left="0" w:leftChars="0" w:right="1470"/>
        <w:rPr>
          <w:rFonts w:ascii="宋体" w:hAnsi="宋体"/>
          <w:color w:val="auto"/>
          <w:sz w:val="24"/>
          <w:highlight w:val="none"/>
        </w:rPr>
        <w:sectPr>
          <w:pgSz w:w="11906" w:h="16838"/>
          <w:pgMar w:top="1440" w:right="1800" w:bottom="1440" w:left="1800" w:header="851" w:footer="992" w:gutter="0"/>
          <w:cols w:space="425" w:num="1"/>
          <w:docGrid w:type="lines" w:linePitch="312" w:charSpace="0"/>
        </w:sectPr>
      </w:pPr>
    </w:p>
    <w:p>
      <w:pPr>
        <w:pStyle w:val="9"/>
        <w:ind w:left="0" w:leftChars="0" w:right="1470"/>
        <w:jc w:val="center"/>
        <w:rPr>
          <w:rFonts w:ascii="宋体"/>
          <w:b/>
          <w:color w:val="auto"/>
          <w:kern w:val="2"/>
          <w:sz w:val="28"/>
          <w:szCs w:val="28"/>
          <w:highlight w:val="none"/>
        </w:rPr>
      </w:pPr>
      <w:r>
        <w:rPr>
          <w:rFonts w:hint="eastAsia" w:ascii="宋体"/>
          <w:b/>
          <w:color w:val="auto"/>
          <w:kern w:val="2"/>
          <w:sz w:val="28"/>
          <w:szCs w:val="28"/>
          <w:highlight w:val="none"/>
        </w:rPr>
        <w:t>残疾人福利性单位声明函</w:t>
      </w:r>
    </w:p>
    <w:p>
      <w:pPr>
        <w:spacing w:line="460" w:lineRule="exact"/>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本单位郑重声明，根据《财政部民政部中国残疾人联合会关于促进残疾人就业政府采购政策的通知》（财库〔2017〕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460" w:lineRule="exact"/>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本单位对上述声明的真实性负责。如有虚假，将依法承担相应责任。</w:t>
      </w:r>
    </w:p>
    <w:p>
      <w:pPr>
        <w:spacing w:line="460" w:lineRule="exact"/>
        <w:ind w:firstLine="480" w:firstLineChars="200"/>
        <w:rPr>
          <w:rFonts w:ascii="Times New Roman" w:hAnsi="Times New Roman" w:eastAsia="宋体" w:cs="Times New Roman"/>
          <w:color w:val="auto"/>
          <w:sz w:val="24"/>
          <w:highlight w:val="none"/>
        </w:rPr>
      </w:pPr>
    </w:p>
    <w:p>
      <w:pPr>
        <w:spacing w:line="460" w:lineRule="exact"/>
        <w:ind w:firstLine="480" w:firstLineChars="200"/>
        <w:rPr>
          <w:rFonts w:ascii="Times New Roman" w:hAnsi="Times New Roman" w:eastAsia="宋体" w:cs="Times New Roman"/>
          <w:color w:val="auto"/>
          <w:sz w:val="24"/>
          <w:highlight w:val="none"/>
        </w:rPr>
      </w:pPr>
    </w:p>
    <w:p>
      <w:pPr>
        <w:spacing w:line="360" w:lineRule="auto"/>
        <w:jc w:val="left"/>
        <w:rPr>
          <w:rFonts w:ascii="宋体" w:hAnsi="Times New Roman" w:eastAsia="宋体" w:cs="Times New Roman"/>
          <w:color w:val="auto"/>
          <w:sz w:val="24"/>
          <w:highlight w:val="none"/>
        </w:rPr>
      </w:pPr>
      <w:r>
        <w:rPr>
          <w:rFonts w:hint="eastAsia" w:ascii="宋体" w:hAnsi="Times New Roman" w:eastAsia="宋体" w:cs="Times New Roman"/>
          <w:color w:val="auto"/>
          <w:sz w:val="24"/>
          <w:highlight w:val="none"/>
        </w:rPr>
        <w:t>企业名称：</w:t>
      </w:r>
      <w:r>
        <w:rPr>
          <w:rFonts w:hint="eastAsia" w:ascii="宋体" w:hAnsi="Times New Roman" w:eastAsia="宋体" w:cs="Times New Roman"/>
          <w:color w:val="auto"/>
          <w:sz w:val="24"/>
          <w:highlight w:val="none"/>
          <w:u w:val="single"/>
        </w:rPr>
        <w:t xml:space="preserve">                                 </w:t>
      </w:r>
      <w:r>
        <w:rPr>
          <w:rFonts w:hint="eastAsia" w:ascii="宋体" w:hAnsi="Times New Roman" w:eastAsia="宋体" w:cs="Times New Roman"/>
          <w:color w:val="auto"/>
          <w:sz w:val="24"/>
          <w:highlight w:val="none"/>
        </w:rPr>
        <w:t>（盖单位公章）</w:t>
      </w:r>
    </w:p>
    <w:p>
      <w:pPr>
        <w:pStyle w:val="9"/>
        <w:ind w:left="1470" w:right="1470"/>
        <w:rPr>
          <w:color w:val="auto"/>
          <w:highlight w:val="none"/>
        </w:rPr>
      </w:pPr>
    </w:p>
    <w:p>
      <w:pPr>
        <w:pStyle w:val="9"/>
        <w:ind w:left="0" w:leftChars="0" w:right="147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日期：</w:t>
      </w:r>
      <w:r>
        <w:rPr>
          <w:rFonts w:hint="eastAsia" w:ascii="Times New Roman" w:hAnsi="Times New Roman" w:eastAsia="宋体" w:cs="Times New Roman"/>
          <w:color w:val="auto"/>
          <w:sz w:val="24"/>
          <w:highlight w:val="none"/>
          <w:u w:val="single"/>
        </w:rPr>
        <w:t xml:space="preserve">            </w:t>
      </w:r>
      <w:r>
        <w:rPr>
          <w:rFonts w:hint="eastAsia" w:ascii="Times New Roman" w:hAnsi="Times New Roman" w:eastAsia="宋体" w:cs="Times New Roman"/>
          <w:color w:val="auto"/>
          <w:sz w:val="24"/>
          <w:highlight w:val="none"/>
        </w:rPr>
        <w:t>年</w:t>
      </w:r>
      <w:r>
        <w:rPr>
          <w:rFonts w:hint="eastAsia" w:ascii="Times New Roman" w:hAnsi="Times New Roman" w:eastAsia="宋体" w:cs="Times New Roman"/>
          <w:color w:val="auto"/>
          <w:sz w:val="24"/>
          <w:highlight w:val="none"/>
          <w:u w:val="single"/>
        </w:rPr>
        <w:t xml:space="preserve">       </w:t>
      </w:r>
      <w:r>
        <w:rPr>
          <w:rFonts w:hint="eastAsia" w:ascii="Times New Roman" w:hAnsi="Times New Roman" w:eastAsia="宋体" w:cs="Times New Roman"/>
          <w:color w:val="auto"/>
          <w:sz w:val="24"/>
          <w:highlight w:val="none"/>
        </w:rPr>
        <w:t>月</w:t>
      </w:r>
      <w:r>
        <w:rPr>
          <w:rFonts w:hint="eastAsia" w:ascii="Times New Roman" w:hAnsi="Times New Roman" w:eastAsia="宋体" w:cs="Times New Roman"/>
          <w:color w:val="auto"/>
          <w:sz w:val="24"/>
          <w:highlight w:val="none"/>
          <w:u w:val="single"/>
        </w:rPr>
        <w:t xml:space="preserve">       </w:t>
      </w:r>
      <w:r>
        <w:rPr>
          <w:rFonts w:hint="eastAsia" w:ascii="Times New Roman" w:hAnsi="Times New Roman" w:eastAsia="宋体" w:cs="Times New Roman"/>
          <w:color w:val="auto"/>
          <w:sz w:val="24"/>
          <w:highlight w:val="none"/>
        </w:rPr>
        <w:t>日</w:t>
      </w:r>
    </w:p>
    <w:p>
      <w:pPr>
        <w:pStyle w:val="9"/>
        <w:ind w:left="0" w:leftChars="0" w:right="1470"/>
        <w:rPr>
          <w:rFonts w:ascii="Times New Roman" w:hAnsi="Times New Roman" w:eastAsia="宋体" w:cs="Times New Roman"/>
          <w:color w:val="auto"/>
          <w:sz w:val="24"/>
          <w:highlight w:val="none"/>
        </w:rPr>
      </w:pPr>
    </w:p>
    <w:p>
      <w:pPr>
        <w:pStyle w:val="9"/>
        <w:ind w:left="0" w:leftChars="0" w:right="1470"/>
        <w:rPr>
          <w:rFonts w:ascii="宋体" w:hAnsi="宋体" w:eastAsia="宋体"/>
          <w:color w:val="auto"/>
          <w:sz w:val="24"/>
          <w:highlight w:val="none"/>
        </w:rPr>
      </w:pPr>
      <w:r>
        <w:rPr>
          <w:rFonts w:hint="eastAsia" w:ascii="Times New Roman" w:hAnsi="Times New Roman" w:eastAsia="宋体" w:cs="Times New Roman"/>
          <w:color w:val="auto"/>
          <w:sz w:val="24"/>
          <w:highlight w:val="none"/>
        </w:rPr>
        <w:t xml:space="preserve"> </w:t>
      </w:r>
    </w:p>
    <w:p>
      <w:pPr>
        <w:pStyle w:val="9"/>
        <w:ind w:left="0" w:leftChars="0" w:right="1470"/>
        <w:rPr>
          <w:rFonts w:ascii="宋体" w:hAnsi="宋体"/>
          <w:color w:val="auto"/>
          <w:sz w:val="24"/>
          <w:highlight w:val="none"/>
        </w:rPr>
        <w:sectPr>
          <w:pgSz w:w="11906" w:h="16838"/>
          <w:pgMar w:top="1440" w:right="1800" w:bottom="1440" w:left="1800" w:header="851" w:footer="992" w:gutter="0"/>
          <w:cols w:space="425" w:num="1"/>
          <w:docGrid w:type="lines" w:linePitch="312" w:charSpace="0"/>
        </w:sectPr>
      </w:pPr>
    </w:p>
    <w:p>
      <w:pPr>
        <w:pStyle w:val="9"/>
        <w:ind w:left="0" w:leftChars="0" w:right="1470"/>
        <w:jc w:val="center"/>
        <w:rPr>
          <w:rFonts w:ascii="宋体"/>
          <w:b/>
          <w:color w:val="auto"/>
          <w:kern w:val="2"/>
          <w:sz w:val="28"/>
          <w:szCs w:val="28"/>
          <w:highlight w:val="none"/>
        </w:rPr>
      </w:pPr>
      <w:r>
        <w:rPr>
          <w:rFonts w:hint="eastAsia" w:ascii="宋体"/>
          <w:b/>
          <w:color w:val="auto"/>
          <w:kern w:val="2"/>
          <w:sz w:val="28"/>
          <w:szCs w:val="28"/>
          <w:highlight w:val="none"/>
        </w:rPr>
        <w:t>监狱企业证明文件</w:t>
      </w:r>
    </w:p>
    <w:p>
      <w:pPr>
        <w:spacing w:line="460" w:lineRule="exact"/>
        <w:ind w:firstLine="480" w:firstLineChars="200"/>
        <w:rPr>
          <w:rFonts w:ascii="宋体" w:hAnsi="宋体" w:eastAsia="宋体" w:cs="宋体"/>
          <w:color w:val="auto"/>
          <w:sz w:val="24"/>
          <w:highlight w:val="none"/>
        </w:rPr>
      </w:pPr>
    </w:p>
    <w:p>
      <w:pPr>
        <w:spacing w:line="46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根据《财政部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9"/>
        <w:ind w:left="0" w:leftChars="0" w:right="1470"/>
        <w:rPr>
          <w:rFonts w:ascii="宋体" w:hAnsi="宋体"/>
          <w:b/>
          <w:bCs/>
          <w:color w:val="auto"/>
          <w:sz w:val="24"/>
          <w:highlight w:val="none"/>
        </w:rPr>
      </w:pPr>
      <w:r>
        <w:rPr>
          <w:rFonts w:hint="eastAsia" w:ascii="宋体" w:hAnsi="宋体" w:eastAsia="宋体" w:cs="宋体"/>
          <w:color w:val="auto"/>
          <w:sz w:val="24"/>
          <w:highlight w:val="none"/>
        </w:rPr>
        <w:t>监狱企业参加政府采购活动时，应当提供由省级以上监狱管理局、戒毒管理局（含新疆生产建设兵团）出具的属于监狱企业的证明文件。</w:t>
      </w:r>
    </w:p>
    <w:p>
      <w:pPr>
        <w:pStyle w:val="9"/>
        <w:ind w:left="0" w:leftChars="0" w:right="1470"/>
        <w:rPr>
          <w:rFonts w:ascii="宋体" w:hAnsi="宋体"/>
          <w:color w:val="auto"/>
          <w:sz w:val="24"/>
          <w:highlight w:val="none"/>
        </w:rPr>
      </w:pPr>
    </w:p>
    <w:p>
      <w:pPr>
        <w:spacing w:line="360" w:lineRule="auto"/>
        <w:jc w:val="left"/>
        <w:rPr>
          <w:rFonts w:ascii="宋体" w:hAnsi="Times New Roman" w:eastAsia="宋体" w:cs="Times New Roman"/>
          <w:color w:val="auto"/>
          <w:sz w:val="24"/>
          <w:highlight w:val="none"/>
        </w:rPr>
      </w:pPr>
      <w:r>
        <w:rPr>
          <w:rFonts w:hint="eastAsia" w:ascii="宋体" w:hAnsi="Times New Roman" w:eastAsia="宋体" w:cs="Times New Roman"/>
          <w:color w:val="auto"/>
          <w:sz w:val="24"/>
          <w:highlight w:val="none"/>
        </w:rPr>
        <w:t>企业名称：</w:t>
      </w:r>
      <w:r>
        <w:rPr>
          <w:rFonts w:hint="eastAsia" w:ascii="宋体" w:hAnsi="Times New Roman" w:eastAsia="宋体" w:cs="Times New Roman"/>
          <w:color w:val="auto"/>
          <w:sz w:val="24"/>
          <w:highlight w:val="none"/>
          <w:u w:val="single"/>
        </w:rPr>
        <w:t xml:space="preserve">                                 </w:t>
      </w:r>
      <w:r>
        <w:rPr>
          <w:rFonts w:hint="eastAsia" w:ascii="宋体" w:hAnsi="Times New Roman" w:eastAsia="宋体" w:cs="Times New Roman"/>
          <w:color w:val="auto"/>
          <w:sz w:val="24"/>
          <w:highlight w:val="none"/>
        </w:rPr>
        <w:t>（盖单位公章）</w:t>
      </w:r>
    </w:p>
    <w:p>
      <w:pPr>
        <w:pStyle w:val="9"/>
        <w:ind w:left="1470" w:right="1470"/>
        <w:rPr>
          <w:color w:val="auto"/>
          <w:highlight w:val="none"/>
        </w:rPr>
      </w:pPr>
    </w:p>
    <w:p>
      <w:pPr>
        <w:pStyle w:val="9"/>
        <w:ind w:left="0" w:leftChars="0" w:right="1470"/>
        <w:rPr>
          <w:rFonts w:ascii="宋体" w:hAnsi="宋体"/>
          <w:color w:val="auto"/>
          <w:sz w:val="24"/>
          <w:highlight w:val="none"/>
        </w:rPr>
      </w:pPr>
      <w:r>
        <w:rPr>
          <w:rFonts w:hint="eastAsia" w:ascii="Times New Roman" w:hAnsi="Times New Roman" w:eastAsia="宋体" w:cs="Times New Roman"/>
          <w:color w:val="auto"/>
          <w:sz w:val="24"/>
          <w:highlight w:val="none"/>
        </w:rPr>
        <w:t>日期：</w:t>
      </w:r>
      <w:r>
        <w:rPr>
          <w:rFonts w:hint="eastAsia" w:ascii="Times New Roman" w:hAnsi="Times New Roman" w:eastAsia="宋体" w:cs="Times New Roman"/>
          <w:color w:val="auto"/>
          <w:sz w:val="24"/>
          <w:highlight w:val="none"/>
          <w:u w:val="single"/>
        </w:rPr>
        <w:t xml:space="preserve">            </w:t>
      </w:r>
      <w:r>
        <w:rPr>
          <w:rFonts w:hint="eastAsia" w:ascii="Times New Roman" w:hAnsi="Times New Roman" w:eastAsia="宋体" w:cs="Times New Roman"/>
          <w:color w:val="auto"/>
          <w:sz w:val="24"/>
          <w:highlight w:val="none"/>
        </w:rPr>
        <w:t>年</w:t>
      </w:r>
      <w:r>
        <w:rPr>
          <w:rFonts w:hint="eastAsia" w:ascii="Times New Roman" w:hAnsi="Times New Roman" w:eastAsia="宋体" w:cs="Times New Roman"/>
          <w:color w:val="auto"/>
          <w:sz w:val="24"/>
          <w:highlight w:val="none"/>
          <w:u w:val="single"/>
        </w:rPr>
        <w:t xml:space="preserve">       </w:t>
      </w:r>
      <w:r>
        <w:rPr>
          <w:rFonts w:hint="eastAsia" w:ascii="Times New Roman" w:hAnsi="Times New Roman" w:eastAsia="宋体" w:cs="Times New Roman"/>
          <w:color w:val="auto"/>
          <w:sz w:val="24"/>
          <w:highlight w:val="none"/>
        </w:rPr>
        <w:t>月</w:t>
      </w:r>
      <w:r>
        <w:rPr>
          <w:rFonts w:hint="eastAsia" w:ascii="Times New Roman" w:hAnsi="Times New Roman" w:eastAsia="宋体" w:cs="Times New Roman"/>
          <w:color w:val="auto"/>
          <w:sz w:val="24"/>
          <w:highlight w:val="none"/>
          <w:u w:val="single"/>
        </w:rPr>
        <w:t xml:space="preserve">       </w:t>
      </w:r>
      <w:r>
        <w:rPr>
          <w:rFonts w:hint="eastAsia" w:ascii="Times New Roman" w:hAnsi="Times New Roman" w:eastAsia="宋体" w:cs="Times New Roman"/>
          <w:color w:val="auto"/>
          <w:sz w:val="24"/>
          <w:highlight w:val="none"/>
        </w:rPr>
        <w:t>日</w:t>
      </w:r>
    </w:p>
    <w:p>
      <w:pPr>
        <w:pStyle w:val="9"/>
        <w:ind w:left="0" w:leftChars="0" w:right="1470"/>
        <w:rPr>
          <w:rFonts w:ascii="宋体" w:hAnsi="宋体"/>
          <w:color w:val="auto"/>
          <w:sz w:val="24"/>
          <w:highlight w:val="none"/>
        </w:rPr>
      </w:pPr>
    </w:p>
    <w:p>
      <w:pPr>
        <w:pStyle w:val="9"/>
        <w:ind w:left="0" w:leftChars="0" w:right="1470"/>
        <w:rPr>
          <w:rFonts w:ascii="宋体" w:hAnsi="宋体" w:eastAsia="宋体" w:cs="Times New Roman"/>
          <w:b/>
          <w:bCs/>
          <w:color w:val="auto"/>
          <w:sz w:val="24"/>
          <w:szCs w:val="20"/>
          <w:highlight w:val="none"/>
        </w:rPr>
      </w:pPr>
    </w:p>
    <w:p>
      <w:pPr>
        <w:pStyle w:val="9"/>
        <w:ind w:left="0" w:leftChars="0" w:right="1470"/>
        <w:rPr>
          <w:rFonts w:ascii="宋体" w:hAnsi="宋体" w:eastAsia="宋体" w:cs="Times New Roman"/>
          <w:b/>
          <w:bCs/>
          <w:color w:val="auto"/>
          <w:sz w:val="24"/>
          <w:szCs w:val="20"/>
          <w:highlight w:val="none"/>
        </w:rPr>
        <w:sectPr>
          <w:pgSz w:w="11906" w:h="16838"/>
          <w:pgMar w:top="1440" w:right="1800" w:bottom="1440" w:left="1800" w:header="851" w:footer="992" w:gutter="0"/>
          <w:cols w:space="425" w:num="1"/>
          <w:docGrid w:type="lines" w:linePitch="312" w:charSpace="0"/>
        </w:sectPr>
      </w:pPr>
    </w:p>
    <w:p>
      <w:pPr>
        <w:pStyle w:val="3"/>
        <w:jc w:val="center"/>
        <w:rPr>
          <w:rFonts w:ascii="Times New Roman" w:hAnsi="Times New Roman" w:eastAsia="宋体" w:cs="Times New Roman"/>
          <w:color w:val="auto"/>
          <w:sz w:val="24"/>
          <w:highlight w:val="none"/>
        </w:rPr>
      </w:pPr>
      <w:bookmarkStart w:id="201" w:name="_Toc60996695"/>
      <w:bookmarkStart w:id="202" w:name="_Toc8111_WPSOffice_Level1"/>
      <w:bookmarkStart w:id="203" w:name="_Toc15807_WPSOffice_Level2"/>
      <w:bookmarkStart w:id="204" w:name="_技术规格、参数与要求"/>
      <w:bookmarkStart w:id="205" w:name="_Toc27015"/>
      <w:r>
        <w:rPr>
          <w:rFonts w:ascii="Times New Roman" w:hAnsi="Times New Roman" w:cs="Times New Roman"/>
          <w:color w:val="auto"/>
          <w:highlight w:val="none"/>
        </w:rPr>
        <w:t xml:space="preserve">第五章 </w:t>
      </w:r>
      <w:bookmarkEnd w:id="201"/>
      <w:bookmarkEnd w:id="202"/>
      <w:bookmarkEnd w:id="203"/>
      <w:r>
        <w:rPr>
          <w:rFonts w:ascii="Times New Roman" w:hAnsi="Times New Roman" w:cs="Times New Roman"/>
          <w:color w:val="auto"/>
          <w:highlight w:val="none"/>
        </w:rPr>
        <w:t>采购需求</w:t>
      </w:r>
      <w:bookmarkEnd w:id="204"/>
      <w:bookmarkEnd w:id="205"/>
      <w:bookmarkStart w:id="206" w:name="_Toc60996698"/>
      <w:bookmarkStart w:id="207" w:name="_Toc25325_WPSOffice_Level1"/>
      <w:bookmarkStart w:id="208" w:name="_Toc17377_WPSOffice_Level2"/>
      <w:bookmarkStart w:id="209" w:name="_第七章____评标办法（综合评分法）"/>
    </w:p>
    <w:p>
      <w:pPr>
        <w:spacing w:line="460" w:lineRule="exact"/>
        <w:ind w:firstLine="480" w:firstLineChars="200"/>
        <w:rPr>
          <w:rFonts w:ascii="Times New Roman" w:hAnsi="Times New Roman" w:eastAsia="宋体" w:cs="Times New Roman"/>
          <w:color w:val="auto"/>
          <w:sz w:val="24"/>
          <w:highlight w:val="none"/>
        </w:rPr>
      </w:pPr>
    </w:p>
    <w:p>
      <w:pPr>
        <w:spacing w:line="460" w:lineRule="exact"/>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楚雄医药高等专科学校食堂餐具洗消间经营合同期已满，受学校各食堂餐饮管理服务机构及委托经营人委托，采购学校食堂餐具洗消间服务单位一家。原设备有全自动洗碗机1台，型号为：CCJB219ZBds_119fjfb，烘干消毒机1台：HGJ4.2/24BWT（以上两项已使用八年），洗消间面积约为34m2，现有在校就餐学生6500人，不锈钢餐盘：6000个，</w:t>
      </w:r>
      <w:r>
        <w:rPr>
          <w:rFonts w:ascii="Times New Roman" w:hAnsi="Times New Roman" w:eastAsia="宋体" w:cs="Times New Roman"/>
          <w:color w:val="auto"/>
          <w:sz w:val="24"/>
          <w:highlight w:val="none"/>
        </w:rPr>
        <w:t>不锈钢餐碗6600个</w:t>
      </w:r>
      <w:r>
        <w:rPr>
          <w:rFonts w:hint="eastAsia" w:ascii="Times New Roman" w:hAnsi="Times New Roman" w:eastAsia="宋体" w:cs="Times New Roman"/>
          <w:color w:val="auto"/>
          <w:sz w:val="24"/>
          <w:highlight w:val="none"/>
        </w:rPr>
        <w:t>。设备大型维护、场所改造、水电费由楚雄医药高等专科学校承担。</w:t>
      </w:r>
      <w:r>
        <w:rPr>
          <w:rFonts w:hint="eastAsia" w:ascii="Times New Roman" w:hAnsi="Times New Roman" w:eastAsia="宋体" w:cs="Times New Roman"/>
          <w:color w:val="auto"/>
          <w:sz w:val="24"/>
          <w:highlight w:val="none"/>
          <w:lang w:val="en-US" w:eastAsia="zh-CN"/>
        </w:rPr>
        <w:t>成交</w:t>
      </w:r>
      <w:r>
        <w:rPr>
          <w:rFonts w:hint="eastAsia" w:ascii="Times New Roman" w:hAnsi="Times New Roman" w:eastAsia="宋体" w:cs="Times New Roman"/>
          <w:color w:val="auto"/>
          <w:sz w:val="24"/>
          <w:highlight w:val="none"/>
        </w:rPr>
        <w:t>服务商须统一着装，对楚雄医药高等专科学校食堂洗消间提供餐具清洗消毒服务；承担餐具损耗补新；洗消用品，餐具推车维护、维修；洗消间设备设施日常维修、维护、更换；餐具收集桶更换；装碗箱破损添补等服务内容。确保餐具干净、卫生、安全，并定期送检且符合检测标准，且仅限于楚雄医药高等专科学校内部使用。承担工作人员每年意外伤害保险（个人保费赔偿金额不得低于80.00万元）。</w:t>
      </w:r>
      <w:r>
        <w:rPr>
          <w:rFonts w:hint="eastAsia" w:ascii="Times New Roman" w:hAnsi="Times New Roman" w:eastAsia="宋体" w:cs="Times New Roman"/>
          <w:color w:val="auto"/>
          <w:sz w:val="24"/>
          <w:highlight w:val="none"/>
        </w:rPr>
        <w:t>详见下文。</w:t>
      </w:r>
    </w:p>
    <w:p>
      <w:pPr>
        <w:spacing w:line="460" w:lineRule="exact"/>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预算金额及最高限价：</w:t>
      </w:r>
      <w:r>
        <w:rPr>
          <w:rFonts w:hint="eastAsia" w:ascii="Times New Roman" w:hAnsi="Times New Roman" w:eastAsia="宋体" w:cs="Times New Roman"/>
          <w:color w:val="auto"/>
          <w:sz w:val="24"/>
          <w:highlight w:val="none"/>
        </w:rPr>
        <w:t>4</w:t>
      </w:r>
      <w:r>
        <w:rPr>
          <w:rFonts w:hint="eastAsia" w:ascii="Times New Roman" w:hAnsi="Times New Roman" w:eastAsia="宋体" w:cs="Times New Roman"/>
          <w:color w:val="auto"/>
          <w:sz w:val="24"/>
          <w:highlight w:val="none"/>
          <w:lang w:val="en-US" w:eastAsia="zh-CN"/>
        </w:rPr>
        <w:t>6</w:t>
      </w:r>
      <w:r>
        <w:rPr>
          <w:rFonts w:hint="eastAsia" w:ascii="Times New Roman" w:hAnsi="Times New Roman" w:eastAsia="宋体" w:cs="Times New Roman"/>
          <w:color w:val="auto"/>
          <w:sz w:val="24"/>
          <w:highlight w:val="none"/>
        </w:rPr>
        <w:t>.00万元/年（大写：</w:t>
      </w:r>
      <w:r>
        <w:rPr>
          <w:rFonts w:hint="eastAsia" w:ascii="Times New Roman" w:hAnsi="Times New Roman" w:eastAsia="宋体" w:cs="Times New Roman"/>
          <w:color w:val="auto"/>
          <w:sz w:val="24"/>
          <w:highlight w:val="none"/>
          <w:lang w:val="en-US" w:eastAsia="zh-CN"/>
        </w:rPr>
        <w:t>肆拾陆万</w:t>
      </w:r>
      <w:r>
        <w:rPr>
          <w:rFonts w:hint="eastAsia" w:ascii="Times New Roman" w:hAnsi="Times New Roman" w:eastAsia="宋体" w:cs="Times New Roman"/>
          <w:color w:val="auto"/>
          <w:sz w:val="24"/>
          <w:highlight w:val="none"/>
        </w:rPr>
        <w:t>元整）（每年以10个月计算）。</w:t>
      </w:r>
    </w:p>
    <w:p>
      <w:pPr>
        <w:spacing w:line="460" w:lineRule="exact"/>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服务期限：3年，合同一年一签。</w:t>
      </w:r>
    </w:p>
    <w:p>
      <w:pPr>
        <w:spacing w:line="460" w:lineRule="exact"/>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我校食堂餐具洗消间的运行及损耗基本情况如下：</w:t>
      </w:r>
    </w:p>
    <w:p>
      <w:pPr>
        <w:spacing w:line="460" w:lineRule="exact"/>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一、本项目所需运行工作人员10人。</w:t>
      </w:r>
    </w:p>
    <w:p>
      <w:pPr>
        <w:spacing w:line="460" w:lineRule="exact"/>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二、每年餐具损耗新补；</w:t>
      </w:r>
    </w:p>
    <w:p>
      <w:pPr>
        <w:spacing w:line="460" w:lineRule="exact"/>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1、竹筷每年新补10000双；</w:t>
      </w:r>
    </w:p>
    <w:p>
      <w:pPr>
        <w:spacing w:line="460" w:lineRule="exact"/>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2、不锈钢餐碗每年新补1500个；</w:t>
      </w:r>
    </w:p>
    <w:p>
      <w:pPr>
        <w:spacing w:line="460" w:lineRule="exact"/>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3、餐勺每年新补3000把。</w:t>
      </w:r>
    </w:p>
    <w:p>
      <w:pPr>
        <w:spacing w:line="460" w:lineRule="exact"/>
        <w:ind w:firstLine="482" w:firstLineChars="200"/>
        <w:rPr>
          <w:rFonts w:hint="eastAsia" w:ascii="Times New Roman" w:hAnsi="Times New Roman" w:eastAsia="宋体" w:cs="Times New Roman"/>
          <w:color w:val="auto"/>
          <w:sz w:val="24"/>
          <w:highlight w:val="none"/>
          <w:lang w:eastAsia="zh-CN"/>
        </w:rPr>
      </w:pPr>
      <w:r>
        <w:rPr>
          <w:rFonts w:hint="eastAsia" w:ascii="Times New Roman" w:hAnsi="Times New Roman" w:eastAsia="宋体" w:cs="Times New Roman"/>
          <w:b/>
          <w:bCs/>
          <w:color w:val="auto"/>
          <w:sz w:val="24"/>
          <w:highlight w:val="none"/>
        </w:rPr>
        <w:t>以下成本请自行核算</w:t>
      </w:r>
      <w:r>
        <w:rPr>
          <w:rFonts w:hint="eastAsia" w:ascii="Times New Roman" w:hAnsi="Times New Roman" w:eastAsia="宋体" w:cs="Times New Roman"/>
          <w:b/>
          <w:bCs/>
          <w:color w:val="auto"/>
          <w:sz w:val="24"/>
          <w:highlight w:val="none"/>
          <w:lang w:eastAsia="zh-CN"/>
        </w:rPr>
        <w:t>：</w:t>
      </w:r>
    </w:p>
    <w:p>
      <w:pPr>
        <w:spacing w:line="460" w:lineRule="exact"/>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三、洗消用品</w:t>
      </w:r>
      <w:bookmarkStart w:id="234" w:name="_GoBack"/>
      <w:bookmarkEnd w:id="234"/>
    </w:p>
    <w:p>
      <w:pPr>
        <w:spacing w:line="460" w:lineRule="exact"/>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四、餐具推车维护、维修</w:t>
      </w:r>
    </w:p>
    <w:p>
      <w:pPr>
        <w:spacing w:line="460" w:lineRule="exact"/>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五、洗消间设备内部维修、维护、更换</w:t>
      </w:r>
    </w:p>
    <w:p>
      <w:pPr>
        <w:spacing w:line="460" w:lineRule="exact"/>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六、餐具收集桶更换</w:t>
      </w:r>
    </w:p>
    <w:p>
      <w:pPr>
        <w:spacing w:line="460" w:lineRule="exact"/>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七、装碗箱破损添补</w:t>
      </w:r>
    </w:p>
    <w:p>
      <w:pPr>
        <w:spacing w:line="460" w:lineRule="exact"/>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八、工作人员每年意外伤害保险</w:t>
      </w:r>
    </w:p>
    <w:p>
      <w:pPr>
        <w:spacing w:line="460" w:lineRule="exact"/>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九、工作人员工作服配套</w:t>
      </w:r>
    </w:p>
    <w:p>
      <w:pPr>
        <w:pStyle w:val="28"/>
        <w:spacing w:line="360" w:lineRule="auto"/>
        <w:rPr>
          <w:rFonts w:ascii="Times New Roman" w:eastAsia="宋体" w:cs="Times New Roman"/>
          <w:color w:val="auto"/>
          <w:highlight w:val="none"/>
        </w:rPr>
      </w:pPr>
    </w:p>
    <w:p>
      <w:pPr>
        <w:pStyle w:val="6"/>
        <w:ind w:firstLine="0" w:firstLineChars="0"/>
        <w:rPr>
          <w:rFonts w:ascii="Times New Roman" w:hAnsi="Times New Roman" w:eastAsia="宋体" w:cs="Times New Roman"/>
          <w:color w:val="auto"/>
          <w:sz w:val="24"/>
          <w:highlight w:val="none"/>
        </w:rPr>
        <w:sectPr>
          <w:pgSz w:w="11906" w:h="16838"/>
          <w:pgMar w:top="1440" w:right="1800" w:bottom="1440" w:left="1800" w:header="851" w:footer="992" w:gutter="0"/>
          <w:cols w:space="425" w:num="1"/>
          <w:docGrid w:type="lines" w:linePitch="312" w:charSpace="0"/>
        </w:sectPr>
      </w:pPr>
    </w:p>
    <w:p>
      <w:pPr>
        <w:keepNext/>
        <w:keepLines/>
        <w:tabs>
          <w:tab w:val="left" w:pos="360"/>
        </w:tabs>
        <w:adjustRightInd w:val="0"/>
        <w:spacing w:before="120" w:line="360" w:lineRule="auto"/>
        <w:jc w:val="center"/>
        <w:textAlignment w:val="baseline"/>
        <w:outlineLvl w:val="0"/>
        <w:rPr>
          <w:rFonts w:ascii="宋体" w:hAnsi="宋体" w:eastAsia="宋体" w:cs="宋体"/>
          <w:b/>
          <w:bCs/>
          <w:color w:val="auto"/>
          <w:kern w:val="44"/>
          <w:sz w:val="32"/>
          <w:szCs w:val="32"/>
          <w:highlight w:val="none"/>
        </w:rPr>
      </w:pPr>
      <w:bookmarkStart w:id="210" w:name="_Toc547"/>
      <w:r>
        <w:rPr>
          <w:rFonts w:hint="eastAsia" w:ascii="宋体" w:hAnsi="宋体" w:eastAsia="宋体" w:cs="宋体"/>
          <w:b/>
          <w:bCs/>
          <w:color w:val="auto"/>
          <w:kern w:val="44"/>
          <w:sz w:val="32"/>
          <w:szCs w:val="32"/>
          <w:highlight w:val="none"/>
        </w:rPr>
        <w:t xml:space="preserve">第六章  </w:t>
      </w:r>
      <w:bookmarkEnd w:id="206"/>
      <w:bookmarkEnd w:id="207"/>
      <w:bookmarkEnd w:id="208"/>
      <w:r>
        <w:rPr>
          <w:rFonts w:hint="eastAsia" w:ascii="宋体" w:hAnsi="宋体" w:eastAsia="宋体" w:cs="宋体"/>
          <w:b/>
          <w:bCs/>
          <w:color w:val="auto"/>
          <w:kern w:val="44"/>
          <w:sz w:val="32"/>
          <w:szCs w:val="32"/>
          <w:highlight w:val="none"/>
        </w:rPr>
        <w:t>磋商程序及方法</w:t>
      </w:r>
      <w:bookmarkEnd w:id="210"/>
    </w:p>
    <w:bookmarkEnd w:id="209"/>
    <w:p>
      <w:pPr>
        <w:pStyle w:val="28"/>
        <w:rPr>
          <w:rFonts w:ascii="Times New Roman" w:cs="Times New Roman"/>
          <w:color w:val="auto"/>
          <w:highlight w:val="none"/>
        </w:rPr>
      </w:pPr>
      <w:bookmarkStart w:id="211" w:name="_Toc22745_WPSOffice_Level2"/>
      <w:bookmarkStart w:id="212" w:name="_综合评分前附表"/>
      <w:bookmarkStart w:id="213" w:name="_Toc22394_WPSOffice_Level3"/>
    </w:p>
    <w:bookmarkEnd w:id="211"/>
    <w:bookmarkEnd w:id="212"/>
    <w:bookmarkEnd w:id="213"/>
    <w:p>
      <w:pPr>
        <w:jc w:val="center"/>
        <w:rPr>
          <w:rFonts w:ascii="Times New Roman" w:hAnsi="Times New Roman" w:cs="Times New Roman"/>
          <w:color w:val="auto"/>
          <w:sz w:val="24"/>
          <w:highlight w:val="none"/>
        </w:rPr>
      </w:pPr>
      <w:bookmarkStart w:id="214" w:name="_Toc86124093"/>
      <w:bookmarkStart w:id="215" w:name="_Toc43850894"/>
      <w:bookmarkStart w:id="216" w:name="_Toc26833767"/>
      <w:bookmarkStart w:id="217" w:name="_Toc191374457"/>
      <w:bookmarkStart w:id="218" w:name="_Toc427306821"/>
      <w:bookmarkStart w:id="219" w:name="_Toc427339196"/>
      <w:bookmarkStart w:id="220" w:name="_Toc43850848"/>
      <w:bookmarkStart w:id="221" w:name="_Toc348011981"/>
      <w:bookmarkStart w:id="222" w:name="_Toc373844202"/>
      <w:r>
        <w:rPr>
          <w:rFonts w:hint="eastAsia" w:ascii="Times New Roman" w:hAnsi="Times New Roman" w:cs="Times New Roman"/>
          <w:b/>
          <w:bCs/>
          <w:color w:val="auto"/>
          <w:sz w:val="32"/>
          <w:szCs w:val="32"/>
          <w:highlight w:val="none"/>
        </w:rPr>
        <w:t xml:space="preserve">表1  </w:t>
      </w:r>
      <w:r>
        <w:rPr>
          <w:rFonts w:ascii="Times New Roman" w:hAnsi="Times New Roman" w:cs="Times New Roman"/>
          <w:b/>
          <w:bCs/>
          <w:color w:val="auto"/>
          <w:sz w:val="32"/>
          <w:szCs w:val="32"/>
          <w:highlight w:val="none"/>
        </w:rPr>
        <w:t>磋商程序和方法前附表</w:t>
      </w:r>
      <w:bookmarkEnd w:id="214"/>
      <w:bookmarkEnd w:id="215"/>
      <w:bookmarkEnd w:id="216"/>
      <w:bookmarkEnd w:id="217"/>
      <w:bookmarkEnd w:id="218"/>
      <w:bookmarkEnd w:id="219"/>
      <w:bookmarkEnd w:id="220"/>
      <w:bookmarkEnd w:id="221"/>
      <w:bookmarkEnd w:id="222"/>
    </w:p>
    <w:tbl>
      <w:tblPr>
        <w:tblStyle w:val="22"/>
        <w:tblW w:w="92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403"/>
        <w:gridCol w:w="204"/>
        <w:gridCol w:w="2402"/>
        <w:gridCol w:w="5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exact"/>
          <w:tblHeader/>
          <w:jc w:val="center"/>
        </w:trPr>
        <w:tc>
          <w:tcPr>
            <w:tcW w:w="1499" w:type="dxa"/>
            <w:gridSpan w:val="3"/>
            <w:vAlign w:val="center"/>
          </w:tcPr>
          <w:p>
            <w:pPr>
              <w:spacing w:before="100" w:beforeAutospacing="1" w:after="100" w:afterAutospacing="1"/>
              <w:jc w:val="center"/>
              <w:rPr>
                <w:rFonts w:ascii="仿宋" w:hAnsi="仿宋" w:eastAsia="仿宋"/>
                <w:color w:val="auto"/>
                <w:sz w:val="24"/>
                <w:highlight w:val="none"/>
              </w:rPr>
            </w:pPr>
            <w:bookmarkStart w:id="223" w:name="_Toc19784_WPSOffice_Level2"/>
            <w:bookmarkStart w:id="224" w:name="_Toc9044"/>
            <w:bookmarkStart w:id="225" w:name="_Toc468805876"/>
            <w:bookmarkStart w:id="226" w:name="_Toc11788_WPSOffice_Level3"/>
            <w:r>
              <w:rPr>
                <w:rFonts w:hint="eastAsia" w:ascii="仿宋" w:hAnsi="仿宋" w:eastAsia="仿宋"/>
                <w:color w:val="auto"/>
                <w:sz w:val="24"/>
                <w:highlight w:val="none"/>
              </w:rPr>
              <w:t>条款号</w:t>
            </w:r>
          </w:p>
        </w:tc>
        <w:tc>
          <w:tcPr>
            <w:tcW w:w="2402" w:type="dxa"/>
            <w:vAlign w:val="center"/>
          </w:tcPr>
          <w:p>
            <w:pPr>
              <w:spacing w:before="100" w:beforeAutospacing="1" w:after="100" w:afterAutospacing="1"/>
              <w:jc w:val="center"/>
              <w:rPr>
                <w:rFonts w:ascii="仿宋" w:hAnsi="仿宋" w:eastAsia="仿宋"/>
                <w:color w:val="auto"/>
                <w:sz w:val="24"/>
                <w:highlight w:val="none"/>
              </w:rPr>
            </w:pPr>
            <w:r>
              <w:rPr>
                <w:rFonts w:hint="eastAsia" w:ascii="仿宋" w:hAnsi="仿宋" w:eastAsia="仿宋"/>
                <w:color w:val="auto"/>
                <w:sz w:val="24"/>
                <w:highlight w:val="none"/>
              </w:rPr>
              <w:t>评 审 内 容</w:t>
            </w:r>
          </w:p>
        </w:tc>
        <w:tc>
          <w:tcPr>
            <w:tcW w:w="5333" w:type="dxa"/>
            <w:vAlign w:val="center"/>
          </w:tcPr>
          <w:p>
            <w:pPr>
              <w:spacing w:before="100" w:beforeAutospacing="1" w:after="100" w:afterAutospacing="1"/>
              <w:jc w:val="center"/>
              <w:rPr>
                <w:rFonts w:ascii="仿宋" w:hAnsi="仿宋" w:eastAsia="仿宋"/>
                <w:color w:val="auto"/>
                <w:sz w:val="24"/>
                <w:highlight w:val="none"/>
              </w:rPr>
            </w:pPr>
            <w:r>
              <w:rPr>
                <w:rFonts w:hint="eastAsia" w:ascii="仿宋" w:hAnsi="仿宋" w:eastAsia="仿宋"/>
                <w:color w:val="auto"/>
                <w:sz w:val="24"/>
                <w:highlight w:val="none"/>
              </w:rPr>
              <w:t>评 审 标 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892" w:type="dxa"/>
            <w:vMerge w:val="restart"/>
            <w:vAlign w:val="center"/>
          </w:tcPr>
          <w:p>
            <w:pPr>
              <w:spacing w:before="100" w:beforeAutospacing="1" w:after="100" w:afterAutospacing="1"/>
              <w:jc w:val="center"/>
              <w:rPr>
                <w:rFonts w:ascii="仿宋" w:hAnsi="仿宋" w:eastAsia="仿宋"/>
                <w:color w:val="auto"/>
                <w:sz w:val="24"/>
                <w:highlight w:val="none"/>
              </w:rPr>
            </w:pPr>
            <w:r>
              <w:rPr>
                <w:rFonts w:hint="eastAsia" w:ascii="仿宋" w:hAnsi="仿宋" w:eastAsia="仿宋"/>
                <w:color w:val="auto"/>
                <w:sz w:val="24"/>
                <w:highlight w:val="none"/>
              </w:rPr>
              <w:t>2.1.1</w:t>
            </w:r>
          </w:p>
        </w:tc>
        <w:tc>
          <w:tcPr>
            <w:tcW w:w="607" w:type="dxa"/>
            <w:gridSpan w:val="2"/>
            <w:vMerge w:val="restart"/>
            <w:vAlign w:val="center"/>
          </w:tcPr>
          <w:p>
            <w:pPr>
              <w:spacing w:before="100" w:beforeAutospacing="1" w:after="100" w:afterAutospacing="1"/>
              <w:jc w:val="center"/>
              <w:rPr>
                <w:rFonts w:ascii="仿宋" w:hAnsi="仿宋" w:eastAsia="仿宋"/>
                <w:color w:val="auto"/>
                <w:sz w:val="24"/>
                <w:highlight w:val="none"/>
              </w:rPr>
            </w:pPr>
            <w:r>
              <w:rPr>
                <w:rFonts w:hint="eastAsia" w:ascii="仿宋" w:hAnsi="仿宋" w:eastAsia="仿宋"/>
                <w:color w:val="auto"/>
                <w:sz w:val="24"/>
                <w:highlight w:val="none"/>
              </w:rPr>
              <w:t>资格审查标准</w:t>
            </w:r>
          </w:p>
        </w:tc>
        <w:tc>
          <w:tcPr>
            <w:tcW w:w="2402" w:type="dxa"/>
            <w:vAlign w:val="center"/>
          </w:tcPr>
          <w:p>
            <w:pPr>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营业执照</w:t>
            </w:r>
          </w:p>
        </w:tc>
        <w:tc>
          <w:tcPr>
            <w:tcW w:w="5333" w:type="dxa"/>
            <w:vAlign w:val="center"/>
          </w:tcPr>
          <w:p>
            <w:pPr>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提供营业执照副本复印件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1" w:hRule="exact"/>
          <w:jc w:val="center"/>
        </w:trPr>
        <w:tc>
          <w:tcPr>
            <w:tcW w:w="892" w:type="dxa"/>
            <w:vMerge w:val="continue"/>
            <w:vAlign w:val="center"/>
          </w:tcPr>
          <w:p>
            <w:pPr>
              <w:spacing w:before="100" w:beforeAutospacing="1" w:after="100" w:afterAutospacing="1"/>
              <w:jc w:val="center"/>
              <w:rPr>
                <w:rFonts w:ascii="仿宋" w:hAnsi="仿宋" w:eastAsia="仿宋"/>
                <w:color w:val="auto"/>
                <w:sz w:val="24"/>
                <w:highlight w:val="none"/>
              </w:rPr>
            </w:pPr>
          </w:p>
        </w:tc>
        <w:tc>
          <w:tcPr>
            <w:tcW w:w="607" w:type="dxa"/>
            <w:gridSpan w:val="2"/>
            <w:vMerge w:val="continue"/>
            <w:vAlign w:val="center"/>
          </w:tcPr>
          <w:p>
            <w:pPr>
              <w:spacing w:before="100" w:beforeAutospacing="1" w:after="100" w:afterAutospacing="1"/>
              <w:jc w:val="center"/>
              <w:rPr>
                <w:rFonts w:ascii="仿宋" w:hAnsi="仿宋" w:eastAsia="仿宋"/>
                <w:color w:val="auto"/>
                <w:sz w:val="24"/>
                <w:highlight w:val="none"/>
              </w:rPr>
            </w:pPr>
          </w:p>
        </w:tc>
        <w:tc>
          <w:tcPr>
            <w:tcW w:w="2402" w:type="dxa"/>
            <w:vAlign w:val="center"/>
          </w:tcPr>
          <w:p>
            <w:pPr>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信誉</w:t>
            </w:r>
          </w:p>
        </w:tc>
        <w:tc>
          <w:tcPr>
            <w:tcW w:w="5333" w:type="dxa"/>
            <w:vAlign w:val="center"/>
          </w:tcPr>
          <w:p>
            <w:pPr>
              <w:rPr>
                <w:rFonts w:ascii="Times New Roman" w:hAnsi="Times New Roman" w:eastAsia="宋体" w:cs="Times New Roman"/>
                <w:color w:val="auto"/>
                <w:highlight w:val="none"/>
              </w:rPr>
            </w:pPr>
            <w:r>
              <w:rPr>
                <w:rFonts w:ascii="Times New Roman" w:hAnsi="Times New Roman" w:eastAsia="宋体" w:cs="Times New Roman"/>
                <w:color w:val="auto"/>
                <w:highlight w:val="none"/>
              </w:rPr>
              <w:t>供应商参加政府采购活动前3年内在经营活动中没有重大违法记录的书面声明，须提供书面声明并加盖公章；</w:t>
            </w:r>
          </w:p>
          <w:p>
            <w:pPr>
              <w:rPr>
                <w:rFonts w:ascii="Times New Roman" w:hAnsi="Times New Roman" w:eastAsia="宋体" w:cs="Times New Roman"/>
                <w:color w:val="auto"/>
                <w:highlight w:val="none"/>
              </w:rPr>
            </w:pPr>
            <w:r>
              <w:rPr>
                <w:rFonts w:ascii="Times New Roman" w:hAnsi="Times New Roman" w:eastAsia="宋体" w:cs="Times New Roman"/>
                <w:color w:val="auto"/>
                <w:highlight w:val="none"/>
              </w:rPr>
              <w:t>供应商在投标截止时间前未被列入“信用中国”网站（www.creditchina.gov.cn）失信被执行人、重大税收违法案件当事人名单、政府采购严重违法失信行为记录名单，须提供</w:t>
            </w:r>
            <w:r>
              <w:rPr>
                <w:rFonts w:hint="eastAsia" w:ascii="Times New Roman" w:hAnsi="Times New Roman" w:eastAsia="宋体" w:cs="Times New Roman"/>
                <w:color w:val="auto"/>
                <w:highlight w:val="none"/>
              </w:rPr>
              <w:t>查询截图及</w:t>
            </w:r>
            <w:r>
              <w:rPr>
                <w:rFonts w:ascii="Times New Roman" w:hAnsi="Times New Roman" w:eastAsia="宋体" w:cs="Times New Roman"/>
                <w:color w:val="auto"/>
                <w:highlight w:val="none"/>
              </w:rPr>
              <w:t>承诺函并加盖公章。若为失信企业，将取消投标中标资格。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exact"/>
          <w:jc w:val="center"/>
        </w:trPr>
        <w:tc>
          <w:tcPr>
            <w:tcW w:w="892" w:type="dxa"/>
            <w:vMerge w:val="continue"/>
            <w:vAlign w:val="center"/>
          </w:tcPr>
          <w:p>
            <w:pPr>
              <w:spacing w:before="100" w:beforeAutospacing="1" w:after="100" w:afterAutospacing="1"/>
              <w:jc w:val="center"/>
              <w:rPr>
                <w:rFonts w:ascii="仿宋" w:hAnsi="仿宋" w:eastAsia="仿宋"/>
                <w:color w:val="auto"/>
                <w:sz w:val="24"/>
                <w:highlight w:val="none"/>
              </w:rPr>
            </w:pPr>
          </w:p>
        </w:tc>
        <w:tc>
          <w:tcPr>
            <w:tcW w:w="607" w:type="dxa"/>
            <w:gridSpan w:val="2"/>
            <w:vMerge w:val="continue"/>
            <w:vAlign w:val="center"/>
          </w:tcPr>
          <w:p>
            <w:pPr>
              <w:spacing w:before="100" w:beforeAutospacing="1" w:after="100" w:afterAutospacing="1"/>
              <w:jc w:val="center"/>
              <w:rPr>
                <w:rFonts w:ascii="仿宋" w:hAnsi="仿宋" w:eastAsia="仿宋"/>
                <w:color w:val="auto"/>
                <w:sz w:val="24"/>
                <w:highlight w:val="none"/>
              </w:rPr>
            </w:pPr>
          </w:p>
        </w:tc>
        <w:tc>
          <w:tcPr>
            <w:tcW w:w="2402" w:type="dxa"/>
            <w:vAlign w:val="center"/>
          </w:tcPr>
          <w:p>
            <w:pPr>
              <w:rPr>
                <w:rFonts w:ascii="Times New Roman" w:hAnsi="Times New Roman" w:eastAsia="宋体" w:cs="Times New Roman"/>
                <w:color w:val="auto"/>
                <w:highlight w:val="none"/>
              </w:rPr>
            </w:pPr>
            <w:r>
              <w:rPr>
                <w:rFonts w:hint="eastAsia" w:ascii="Times New Roman" w:hAnsi="Times New Roman" w:eastAsia="宋体" w:cs="Times New Roman"/>
                <w:color w:val="auto"/>
                <w:szCs w:val="21"/>
                <w:highlight w:val="none"/>
              </w:rPr>
              <w:t>磋商保证金</w:t>
            </w:r>
          </w:p>
        </w:tc>
        <w:tc>
          <w:tcPr>
            <w:tcW w:w="5333" w:type="dxa"/>
            <w:vAlign w:val="center"/>
          </w:tcPr>
          <w:p>
            <w:pPr>
              <w:pStyle w:val="2"/>
              <w:jc w:val="left"/>
              <w:rPr>
                <w:color w:val="auto"/>
                <w:highlight w:val="none"/>
              </w:rPr>
            </w:pPr>
            <w:r>
              <w:rPr>
                <w:rFonts w:hint="eastAsia"/>
                <w:color w:val="auto"/>
                <w:szCs w:val="21"/>
                <w:highlight w:val="none"/>
              </w:rPr>
              <w:t>按要求按时足额缴纳。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892" w:type="dxa"/>
            <w:vMerge w:val="restart"/>
            <w:vAlign w:val="center"/>
          </w:tcPr>
          <w:p>
            <w:pPr>
              <w:spacing w:before="100" w:beforeAutospacing="1" w:after="100" w:afterAutospacing="1"/>
              <w:jc w:val="center"/>
              <w:rPr>
                <w:rFonts w:ascii="仿宋" w:hAnsi="仿宋" w:eastAsia="仿宋"/>
                <w:color w:val="auto"/>
                <w:sz w:val="24"/>
                <w:highlight w:val="none"/>
              </w:rPr>
            </w:pPr>
            <w:r>
              <w:rPr>
                <w:rFonts w:hint="eastAsia" w:ascii="仿宋" w:hAnsi="仿宋" w:eastAsia="仿宋"/>
                <w:color w:val="auto"/>
                <w:sz w:val="24"/>
                <w:highlight w:val="none"/>
              </w:rPr>
              <w:t>2.1.2</w:t>
            </w:r>
          </w:p>
        </w:tc>
        <w:tc>
          <w:tcPr>
            <w:tcW w:w="607" w:type="dxa"/>
            <w:gridSpan w:val="2"/>
            <w:vMerge w:val="restart"/>
            <w:vAlign w:val="center"/>
          </w:tcPr>
          <w:p>
            <w:pPr>
              <w:spacing w:before="100" w:beforeAutospacing="1" w:after="100" w:afterAutospacing="1"/>
              <w:jc w:val="center"/>
              <w:rPr>
                <w:rFonts w:ascii="仿宋" w:hAnsi="仿宋" w:eastAsia="仿宋"/>
                <w:color w:val="auto"/>
                <w:sz w:val="24"/>
                <w:highlight w:val="none"/>
              </w:rPr>
            </w:pPr>
            <w:r>
              <w:rPr>
                <w:rFonts w:hint="eastAsia" w:ascii="仿宋" w:hAnsi="仿宋" w:eastAsia="仿宋"/>
                <w:color w:val="auto"/>
                <w:sz w:val="24"/>
                <w:highlight w:val="none"/>
              </w:rPr>
              <w:t>符合性审查</w:t>
            </w:r>
          </w:p>
        </w:tc>
        <w:tc>
          <w:tcPr>
            <w:tcW w:w="2402"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响应文件</w:t>
            </w:r>
          </w:p>
          <w:p>
            <w:pPr>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格式</w:t>
            </w:r>
          </w:p>
        </w:tc>
        <w:tc>
          <w:tcPr>
            <w:tcW w:w="5333"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auto"/>
                <w:highlight w:val="none"/>
              </w:rPr>
            </w:pPr>
            <w:r>
              <w:rPr>
                <w:rFonts w:hint="eastAsia" w:ascii="Times New Roman" w:hAnsi="Times New Roman" w:eastAsia="宋体" w:cs="Times New Roman"/>
                <w:color w:val="auto"/>
                <w:highlight w:val="none"/>
              </w:rPr>
              <w:t>响应文件按招标文件格式及内容要求签署、盖章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892" w:type="dxa"/>
            <w:vMerge w:val="continue"/>
            <w:vAlign w:val="center"/>
          </w:tcPr>
          <w:p>
            <w:pPr>
              <w:spacing w:before="100" w:beforeAutospacing="1" w:after="100" w:afterAutospacing="1"/>
              <w:jc w:val="center"/>
              <w:rPr>
                <w:rFonts w:ascii="仿宋" w:hAnsi="仿宋" w:eastAsia="仿宋"/>
                <w:color w:val="auto"/>
                <w:sz w:val="24"/>
                <w:highlight w:val="none"/>
              </w:rPr>
            </w:pPr>
          </w:p>
        </w:tc>
        <w:tc>
          <w:tcPr>
            <w:tcW w:w="607" w:type="dxa"/>
            <w:gridSpan w:val="2"/>
            <w:vMerge w:val="continue"/>
            <w:vAlign w:val="center"/>
          </w:tcPr>
          <w:p>
            <w:pPr>
              <w:spacing w:before="100" w:beforeAutospacing="1" w:after="100" w:afterAutospacing="1"/>
              <w:jc w:val="center"/>
              <w:rPr>
                <w:rFonts w:ascii="仿宋" w:hAnsi="仿宋" w:eastAsia="仿宋"/>
                <w:color w:val="auto"/>
                <w:sz w:val="24"/>
                <w:highlight w:val="none"/>
              </w:rPr>
            </w:pPr>
          </w:p>
        </w:tc>
        <w:tc>
          <w:tcPr>
            <w:tcW w:w="2402" w:type="dxa"/>
            <w:tcBorders>
              <w:top w:val="single" w:color="auto" w:sz="8" w:space="0"/>
              <w:left w:val="single" w:color="auto" w:sz="8" w:space="0"/>
              <w:bottom w:val="single" w:color="auto" w:sz="8" w:space="0"/>
              <w:right w:val="single" w:color="auto" w:sz="8" w:space="0"/>
            </w:tcBorders>
            <w:vAlign w:val="center"/>
          </w:tcPr>
          <w:p>
            <w:pPr>
              <w:adjustRightInd w:val="0"/>
              <w:snapToGrid w:val="0"/>
              <w:rPr>
                <w:rFonts w:ascii="Times New Roman" w:hAnsi="Times New Roman" w:eastAsia="宋体" w:cs="Times New Roman"/>
                <w:color w:val="auto"/>
                <w:highlight w:val="none"/>
              </w:rPr>
            </w:pPr>
            <w:r>
              <w:rPr>
                <w:rFonts w:ascii="Times New Roman" w:hAnsi="Times New Roman" w:eastAsia="宋体" w:cs="Times New Roman"/>
                <w:color w:val="auto"/>
                <w:highlight w:val="none"/>
              </w:rPr>
              <w:t>响应函</w:t>
            </w:r>
          </w:p>
        </w:tc>
        <w:tc>
          <w:tcPr>
            <w:tcW w:w="5333"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auto"/>
                <w:highlight w:val="none"/>
              </w:rPr>
            </w:pPr>
            <w:r>
              <w:rPr>
                <w:rFonts w:ascii="Times New Roman" w:hAnsi="Times New Roman" w:eastAsia="宋体" w:cs="Times New Roman"/>
                <w:color w:val="auto"/>
                <w:highlight w:val="none"/>
              </w:rPr>
              <w:t>有法定代表人或其委托代理人签字或盖章或者加盖单位公章；符合磋商文件给定格式及内容；响应文件正本中响应函为原件。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92" w:type="dxa"/>
            <w:vMerge w:val="continue"/>
            <w:vAlign w:val="center"/>
          </w:tcPr>
          <w:p>
            <w:pPr>
              <w:spacing w:before="100" w:beforeAutospacing="1" w:after="100" w:afterAutospacing="1"/>
              <w:jc w:val="center"/>
              <w:rPr>
                <w:rFonts w:ascii="仿宋" w:hAnsi="仿宋" w:eastAsia="仿宋"/>
                <w:color w:val="auto"/>
                <w:sz w:val="24"/>
                <w:highlight w:val="none"/>
              </w:rPr>
            </w:pPr>
          </w:p>
        </w:tc>
        <w:tc>
          <w:tcPr>
            <w:tcW w:w="607" w:type="dxa"/>
            <w:gridSpan w:val="2"/>
            <w:vMerge w:val="continue"/>
            <w:vAlign w:val="center"/>
          </w:tcPr>
          <w:p>
            <w:pPr>
              <w:spacing w:before="100" w:beforeAutospacing="1" w:after="100" w:afterAutospacing="1"/>
              <w:jc w:val="center"/>
              <w:rPr>
                <w:rFonts w:ascii="仿宋" w:hAnsi="仿宋" w:eastAsia="仿宋"/>
                <w:color w:val="auto"/>
                <w:sz w:val="24"/>
                <w:highlight w:val="none"/>
              </w:rPr>
            </w:pPr>
          </w:p>
        </w:tc>
        <w:tc>
          <w:tcPr>
            <w:tcW w:w="2402" w:type="dxa"/>
            <w:tcBorders>
              <w:top w:val="single" w:color="auto" w:sz="8" w:space="0"/>
              <w:left w:val="single" w:color="auto" w:sz="8" w:space="0"/>
              <w:bottom w:val="single" w:color="auto" w:sz="8" w:space="0"/>
              <w:right w:val="single" w:color="auto" w:sz="8" w:space="0"/>
            </w:tcBorders>
            <w:vAlign w:val="center"/>
          </w:tcPr>
          <w:p>
            <w:pPr>
              <w:adjustRightInd w:val="0"/>
              <w:snapToGrid w:val="0"/>
              <w:rPr>
                <w:rFonts w:ascii="Times New Roman" w:hAnsi="Times New Roman" w:eastAsia="宋体" w:cs="Times New Roman"/>
                <w:color w:val="auto"/>
                <w:highlight w:val="none"/>
              </w:rPr>
            </w:pPr>
            <w:r>
              <w:rPr>
                <w:rFonts w:ascii="Times New Roman" w:hAnsi="Times New Roman" w:eastAsia="宋体" w:cs="Times New Roman"/>
                <w:color w:val="auto"/>
                <w:highlight w:val="none"/>
              </w:rPr>
              <w:t>法定代表人资格证明书</w:t>
            </w:r>
          </w:p>
        </w:tc>
        <w:tc>
          <w:tcPr>
            <w:tcW w:w="5333"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auto"/>
                <w:highlight w:val="none"/>
              </w:rPr>
            </w:pPr>
            <w:r>
              <w:rPr>
                <w:rFonts w:ascii="Times New Roman" w:hAnsi="Times New Roman" w:eastAsia="宋体" w:cs="Times New Roman"/>
                <w:color w:val="auto"/>
                <w:highlight w:val="none"/>
              </w:rPr>
              <w:t>符合磋商文件给定格式及内容并加盖单位公章；响应文件正本中法定代表人资格证明书为原件。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892" w:type="dxa"/>
            <w:vMerge w:val="continue"/>
            <w:vAlign w:val="center"/>
          </w:tcPr>
          <w:p>
            <w:pPr>
              <w:spacing w:before="100" w:beforeAutospacing="1" w:after="100" w:afterAutospacing="1"/>
              <w:jc w:val="center"/>
              <w:rPr>
                <w:rFonts w:ascii="仿宋" w:hAnsi="仿宋" w:eastAsia="仿宋"/>
                <w:color w:val="auto"/>
                <w:sz w:val="24"/>
                <w:highlight w:val="none"/>
              </w:rPr>
            </w:pPr>
          </w:p>
        </w:tc>
        <w:tc>
          <w:tcPr>
            <w:tcW w:w="607" w:type="dxa"/>
            <w:gridSpan w:val="2"/>
            <w:vMerge w:val="continue"/>
            <w:vAlign w:val="center"/>
          </w:tcPr>
          <w:p>
            <w:pPr>
              <w:spacing w:before="100" w:beforeAutospacing="1" w:after="100" w:afterAutospacing="1"/>
              <w:jc w:val="center"/>
              <w:rPr>
                <w:rFonts w:ascii="仿宋" w:hAnsi="仿宋" w:eastAsia="仿宋"/>
                <w:color w:val="auto"/>
                <w:sz w:val="24"/>
                <w:highlight w:val="none"/>
              </w:rPr>
            </w:pPr>
          </w:p>
        </w:tc>
        <w:tc>
          <w:tcPr>
            <w:tcW w:w="2402" w:type="dxa"/>
            <w:vMerge w:val="restart"/>
            <w:tcBorders>
              <w:top w:val="single" w:color="auto" w:sz="8" w:space="0"/>
              <w:left w:val="single" w:color="auto" w:sz="8" w:space="0"/>
              <w:bottom w:val="single" w:color="auto" w:sz="8" w:space="0"/>
              <w:right w:val="single" w:color="auto" w:sz="8" w:space="0"/>
            </w:tcBorders>
            <w:vAlign w:val="center"/>
          </w:tcPr>
          <w:p>
            <w:pPr>
              <w:adjustRightInd w:val="0"/>
              <w:snapToGrid w:val="0"/>
              <w:rPr>
                <w:rFonts w:ascii="Times New Roman" w:hAnsi="Times New Roman" w:eastAsia="宋体" w:cs="Times New Roman"/>
                <w:color w:val="auto"/>
                <w:highlight w:val="none"/>
              </w:rPr>
            </w:pPr>
            <w:r>
              <w:rPr>
                <w:rFonts w:ascii="Times New Roman" w:hAnsi="Times New Roman" w:eastAsia="宋体" w:cs="Times New Roman"/>
                <w:color w:val="auto"/>
                <w:highlight w:val="none"/>
              </w:rPr>
              <w:t>法定代表人授权委托书</w:t>
            </w:r>
          </w:p>
        </w:tc>
        <w:tc>
          <w:tcPr>
            <w:tcW w:w="5333"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auto"/>
                <w:highlight w:val="none"/>
              </w:rPr>
            </w:pPr>
            <w:r>
              <w:rPr>
                <w:rFonts w:ascii="Times New Roman" w:hAnsi="Times New Roman" w:eastAsia="宋体" w:cs="Times New Roman"/>
                <w:color w:val="auto"/>
                <w:highlight w:val="none"/>
              </w:rPr>
              <w:t>有法定代表人及其委托代理人签字或盖章并加盖单位公章；符合磋商文件给定格式及内容；响应文件正本中法定代表人授权委托书为原件。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892" w:type="dxa"/>
            <w:vMerge w:val="continue"/>
            <w:vAlign w:val="center"/>
          </w:tcPr>
          <w:p>
            <w:pPr>
              <w:spacing w:before="100" w:beforeAutospacing="1" w:after="100" w:afterAutospacing="1"/>
              <w:jc w:val="center"/>
              <w:rPr>
                <w:rFonts w:ascii="仿宋" w:hAnsi="仿宋" w:eastAsia="仿宋"/>
                <w:color w:val="auto"/>
                <w:sz w:val="24"/>
                <w:highlight w:val="none"/>
              </w:rPr>
            </w:pPr>
          </w:p>
        </w:tc>
        <w:tc>
          <w:tcPr>
            <w:tcW w:w="607" w:type="dxa"/>
            <w:gridSpan w:val="2"/>
            <w:vMerge w:val="continue"/>
            <w:vAlign w:val="center"/>
          </w:tcPr>
          <w:p>
            <w:pPr>
              <w:spacing w:before="100" w:beforeAutospacing="1" w:after="100" w:afterAutospacing="1"/>
              <w:jc w:val="center"/>
              <w:rPr>
                <w:rFonts w:ascii="仿宋" w:hAnsi="仿宋" w:eastAsia="仿宋"/>
                <w:color w:val="auto"/>
                <w:sz w:val="24"/>
                <w:highlight w:val="none"/>
              </w:rPr>
            </w:pPr>
          </w:p>
        </w:tc>
        <w:tc>
          <w:tcPr>
            <w:tcW w:w="2402" w:type="dxa"/>
            <w:vMerge w:val="continue"/>
            <w:tcBorders>
              <w:top w:val="single" w:color="auto" w:sz="8" w:space="0"/>
              <w:left w:val="single" w:color="auto" w:sz="8" w:space="0"/>
              <w:bottom w:val="single" w:color="auto" w:sz="8" w:space="0"/>
              <w:right w:val="single" w:color="auto" w:sz="8" w:space="0"/>
            </w:tcBorders>
            <w:vAlign w:val="center"/>
          </w:tcPr>
          <w:p>
            <w:pPr>
              <w:spacing w:before="100" w:beforeAutospacing="1" w:after="100" w:afterAutospacing="1"/>
              <w:rPr>
                <w:rFonts w:ascii="仿宋" w:hAnsi="仿宋" w:eastAsia="仿宋"/>
                <w:color w:val="auto"/>
                <w:sz w:val="24"/>
                <w:highlight w:val="none"/>
              </w:rPr>
            </w:pPr>
          </w:p>
        </w:tc>
        <w:tc>
          <w:tcPr>
            <w:tcW w:w="5333" w:type="dxa"/>
            <w:tcBorders>
              <w:top w:val="single" w:color="auto" w:sz="8" w:space="0"/>
              <w:left w:val="single" w:color="auto" w:sz="8" w:space="0"/>
              <w:bottom w:val="single" w:color="auto" w:sz="8" w:space="0"/>
              <w:right w:val="single" w:color="auto" w:sz="8" w:space="0"/>
            </w:tcBorders>
            <w:vAlign w:val="center"/>
          </w:tcPr>
          <w:p>
            <w:pPr>
              <w:spacing w:line="320" w:lineRule="exact"/>
              <w:rPr>
                <w:rFonts w:ascii="仿宋" w:hAnsi="仿宋" w:eastAsia="仿宋"/>
                <w:color w:val="auto"/>
                <w:sz w:val="24"/>
                <w:highlight w:val="none"/>
              </w:rPr>
            </w:pPr>
            <w:r>
              <w:rPr>
                <w:rFonts w:ascii="Times New Roman" w:hAnsi="Times New Roman" w:eastAsia="宋体" w:cs="Times New Roman"/>
                <w:color w:val="auto"/>
                <w:highlight w:val="none"/>
              </w:rPr>
              <w:t>注：响应文件（包括评审过程中的澄清、说明或者补正）由法定代表人签署的，不审查该项。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jc w:val="center"/>
        </w:trPr>
        <w:tc>
          <w:tcPr>
            <w:tcW w:w="892" w:type="dxa"/>
            <w:vMerge w:val="continue"/>
            <w:vAlign w:val="center"/>
          </w:tcPr>
          <w:p>
            <w:pPr>
              <w:spacing w:before="100" w:beforeAutospacing="1" w:after="100" w:afterAutospacing="1"/>
              <w:jc w:val="center"/>
              <w:rPr>
                <w:rFonts w:ascii="仿宋" w:hAnsi="仿宋" w:eastAsia="仿宋"/>
                <w:color w:val="auto"/>
                <w:sz w:val="24"/>
                <w:highlight w:val="none"/>
              </w:rPr>
            </w:pPr>
          </w:p>
        </w:tc>
        <w:tc>
          <w:tcPr>
            <w:tcW w:w="607" w:type="dxa"/>
            <w:gridSpan w:val="2"/>
            <w:vMerge w:val="continue"/>
            <w:vAlign w:val="center"/>
          </w:tcPr>
          <w:p>
            <w:pPr>
              <w:spacing w:before="100" w:beforeAutospacing="1" w:after="100" w:afterAutospacing="1"/>
              <w:jc w:val="center"/>
              <w:rPr>
                <w:rFonts w:ascii="仿宋" w:hAnsi="仿宋" w:eastAsia="仿宋"/>
                <w:color w:val="auto"/>
                <w:sz w:val="24"/>
                <w:highlight w:val="none"/>
              </w:rPr>
            </w:pPr>
          </w:p>
        </w:tc>
        <w:tc>
          <w:tcPr>
            <w:tcW w:w="2402" w:type="dxa"/>
            <w:tcBorders>
              <w:top w:val="single" w:color="auto" w:sz="8" w:space="0"/>
              <w:left w:val="single" w:color="auto" w:sz="8" w:space="0"/>
              <w:bottom w:val="single" w:color="auto" w:sz="8" w:space="0"/>
              <w:right w:val="single" w:color="auto" w:sz="8" w:space="0"/>
            </w:tcBorders>
            <w:vAlign w:val="center"/>
          </w:tcPr>
          <w:p>
            <w:pPr>
              <w:adjustRightInd w:val="0"/>
              <w:snapToGrid w:val="0"/>
              <w:rPr>
                <w:rFonts w:ascii="Times New Roman" w:hAnsi="Times New Roman" w:eastAsia="宋体" w:cs="Times New Roman"/>
                <w:color w:val="auto"/>
                <w:highlight w:val="none"/>
              </w:rPr>
            </w:pPr>
            <w:r>
              <w:rPr>
                <w:rFonts w:ascii="Times New Roman" w:hAnsi="Times New Roman" w:eastAsia="宋体" w:cs="Times New Roman"/>
                <w:color w:val="auto"/>
                <w:szCs w:val="21"/>
                <w:highlight w:val="none"/>
              </w:rPr>
              <w:t>磋商报价</w:t>
            </w:r>
          </w:p>
        </w:tc>
        <w:tc>
          <w:tcPr>
            <w:tcW w:w="5333"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auto"/>
                <w:highlight w:val="none"/>
              </w:rPr>
            </w:pPr>
            <w:r>
              <w:rPr>
                <w:rFonts w:ascii="Times New Roman" w:hAnsi="Times New Roman" w:eastAsia="宋体" w:cs="Times New Roman"/>
                <w:color w:val="auto"/>
                <w:highlight w:val="none"/>
              </w:rPr>
              <w:t>完整且只有一个有效报价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892" w:type="dxa"/>
            <w:vMerge w:val="continue"/>
            <w:vAlign w:val="center"/>
          </w:tcPr>
          <w:p>
            <w:pPr>
              <w:spacing w:before="100" w:beforeAutospacing="1" w:after="100" w:afterAutospacing="1"/>
              <w:jc w:val="center"/>
              <w:rPr>
                <w:rFonts w:ascii="仿宋" w:hAnsi="仿宋" w:eastAsia="仿宋"/>
                <w:color w:val="auto"/>
                <w:sz w:val="24"/>
                <w:highlight w:val="none"/>
              </w:rPr>
            </w:pPr>
          </w:p>
        </w:tc>
        <w:tc>
          <w:tcPr>
            <w:tcW w:w="607" w:type="dxa"/>
            <w:gridSpan w:val="2"/>
            <w:vMerge w:val="continue"/>
            <w:vAlign w:val="center"/>
          </w:tcPr>
          <w:p>
            <w:pPr>
              <w:spacing w:before="100" w:beforeAutospacing="1" w:after="100" w:afterAutospacing="1"/>
              <w:jc w:val="center"/>
              <w:rPr>
                <w:rFonts w:ascii="仿宋" w:hAnsi="仿宋" w:eastAsia="仿宋"/>
                <w:color w:val="auto"/>
                <w:sz w:val="24"/>
                <w:highlight w:val="none"/>
              </w:rPr>
            </w:pPr>
          </w:p>
        </w:tc>
        <w:tc>
          <w:tcPr>
            <w:tcW w:w="2402" w:type="dxa"/>
            <w:tcBorders>
              <w:top w:val="single" w:color="auto" w:sz="8" w:space="0"/>
              <w:left w:val="single" w:color="auto" w:sz="8" w:space="0"/>
              <w:bottom w:val="single" w:color="auto" w:sz="8" w:space="0"/>
              <w:right w:val="single" w:color="auto" w:sz="8" w:space="0"/>
            </w:tcBorders>
            <w:vAlign w:val="center"/>
          </w:tcPr>
          <w:p>
            <w:pPr>
              <w:adjustRightInd w:val="0"/>
              <w:snapToGrid w:val="0"/>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报价</w:t>
            </w:r>
            <w:r>
              <w:rPr>
                <w:rFonts w:ascii="Times New Roman" w:hAnsi="Times New Roman" w:eastAsia="宋体" w:cs="Times New Roman"/>
                <w:color w:val="auto"/>
                <w:szCs w:val="21"/>
                <w:highlight w:val="none"/>
              </w:rPr>
              <w:t>有效期</w:t>
            </w:r>
          </w:p>
        </w:tc>
        <w:tc>
          <w:tcPr>
            <w:tcW w:w="5333"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auto"/>
                <w:szCs w:val="21"/>
                <w:highlight w:val="none"/>
              </w:rPr>
            </w:pPr>
            <w:r>
              <w:rPr>
                <w:rFonts w:hint="eastAsia" w:ascii="Times New Roman" w:hAnsi="Times New Roman" w:eastAsia="宋体" w:cs="Times New Roman"/>
                <w:color w:val="auto"/>
                <w:kern w:val="0"/>
                <w:szCs w:val="21"/>
                <w:highlight w:val="none"/>
              </w:rPr>
              <w:t>从递交磋商响应文件截止之日起60日历天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892" w:type="dxa"/>
            <w:vMerge w:val="continue"/>
            <w:vAlign w:val="center"/>
          </w:tcPr>
          <w:p>
            <w:pPr>
              <w:spacing w:before="100" w:beforeAutospacing="1" w:after="100" w:afterAutospacing="1"/>
              <w:rPr>
                <w:rFonts w:ascii="仿宋" w:hAnsi="仿宋" w:eastAsia="仿宋"/>
                <w:color w:val="auto"/>
                <w:sz w:val="24"/>
                <w:highlight w:val="none"/>
              </w:rPr>
            </w:pPr>
          </w:p>
        </w:tc>
        <w:tc>
          <w:tcPr>
            <w:tcW w:w="607" w:type="dxa"/>
            <w:gridSpan w:val="2"/>
            <w:vMerge w:val="continue"/>
            <w:vAlign w:val="center"/>
          </w:tcPr>
          <w:p>
            <w:pPr>
              <w:spacing w:before="100" w:beforeAutospacing="1" w:after="100" w:afterAutospacing="1"/>
              <w:rPr>
                <w:rFonts w:ascii="仿宋" w:hAnsi="仿宋" w:eastAsia="仿宋"/>
                <w:color w:val="auto"/>
                <w:sz w:val="24"/>
                <w:highlight w:val="none"/>
              </w:rPr>
            </w:pPr>
          </w:p>
        </w:tc>
        <w:tc>
          <w:tcPr>
            <w:tcW w:w="2402"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采购内容</w:t>
            </w:r>
          </w:p>
        </w:tc>
        <w:tc>
          <w:tcPr>
            <w:tcW w:w="5333"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所投服务及内容须与采购内容一致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892" w:type="dxa"/>
            <w:vMerge w:val="continue"/>
            <w:vAlign w:val="center"/>
          </w:tcPr>
          <w:p>
            <w:pPr>
              <w:spacing w:before="100" w:beforeAutospacing="1" w:after="100" w:afterAutospacing="1"/>
              <w:rPr>
                <w:rFonts w:ascii="仿宋" w:hAnsi="仿宋" w:eastAsia="仿宋"/>
                <w:color w:val="auto"/>
                <w:sz w:val="24"/>
                <w:highlight w:val="none"/>
              </w:rPr>
            </w:pPr>
          </w:p>
        </w:tc>
        <w:tc>
          <w:tcPr>
            <w:tcW w:w="607" w:type="dxa"/>
            <w:gridSpan w:val="2"/>
            <w:vMerge w:val="continue"/>
            <w:vAlign w:val="center"/>
          </w:tcPr>
          <w:p>
            <w:pPr>
              <w:spacing w:before="100" w:beforeAutospacing="1" w:after="100" w:afterAutospacing="1"/>
              <w:rPr>
                <w:rFonts w:ascii="仿宋" w:hAnsi="仿宋" w:eastAsia="仿宋"/>
                <w:color w:val="auto"/>
                <w:sz w:val="24"/>
                <w:highlight w:val="none"/>
              </w:rPr>
            </w:pPr>
          </w:p>
        </w:tc>
        <w:tc>
          <w:tcPr>
            <w:tcW w:w="2402"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投标是否有效</w:t>
            </w:r>
          </w:p>
        </w:tc>
        <w:tc>
          <w:tcPr>
            <w:tcW w:w="5333" w:type="dxa"/>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无招标文件规定的其他投标无效情形</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54" w:hRule="atLeast"/>
          <w:jc w:val="center"/>
        </w:trPr>
        <w:tc>
          <w:tcPr>
            <w:tcW w:w="9234" w:type="dxa"/>
            <w:gridSpan w:val="5"/>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295"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Times New Roman" w:hAnsi="Times New Roman" w:eastAsia="宋体" w:cs="Times New Roman"/>
                <w:b/>
                <w:color w:val="auto"/>
                <w:szCs w:val="21"/>
                <w:highlight w:val="none"/>
              </w:rPr>
            </w:pPr>
            <w:r>
              <w:rPr>
                <w:rFonts w:ascii="Times New Roman" w:hAnsi="Times New Roman" w:eastAsia="宋体" w:cs="Times New Roman"/>
                <w:b/>
                <w:color w:val="auto"/>
                <w:szCs w:val="21"/>
                <w:highlight w:val="none"/>
              </w:rPr>
              <w:t>条款内容</w:t>
            </w:r>
          </w:p>
        </w:tc>
        <w:tc>
          <w:tcPr>
            <w:tcW w:w="7939" w:type="dxa"/>
            <w:gridSpan w:val="3"/>
            <w:tcBorders>
              <w:top w:val="single" w:color="auto" w:sz="8" w:space="0"/>
              <w:left w:val="single" w:color="auto" w:sz="8" w:space="0"/>
              <w:bottom w:val="single" w:color="auto" w:sz="8" w:space="0"/>
              <w:right w:val="single" w:color="auto" w:sz="8" w:space="0"/>
            </w:tcBorders>
            <w:vAlign w:val="center"/>
          </w:tcPr>
          <w:p>
            <w:pPr>
              <w:jc w:val="center"/>
              <w:rPr>
                <w:rFonts w:ascii="Times New Roman" w:hAnsi="Times New Roman" w:eastAsia="宋体" w:cs="Times New Roman"/>
                <w:b/>
                <w:color w:val="auto"/>
                <w:szCs w:val="21"/>
                <w:highlight w:val="none"/>
              </w:rPr>
            </w:pPr>
            <w:r>
              <w:rPr>
                <w:rFonts w:ascii="Times New Roman" w:hAnsi="Times New Roman" w:eastAsia="宋体" w:cs="Times New Roman"/>
                <w:b/>
                <w:color w:val="auto"/>
                <w:szCs w:val="21"/>
                <w:highlight w:val="none"/>
              </w:rPr>
              <w:t>编列内容</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15" w:hRule="atLeast"/>
          <w:jc w:val="center"/>
        </w:trPr>
        <w:tc>
          <w:tcPr>
            <w:tcW w:w="1295" w:type="dxa"/>
            <w:gridSpan w:val="2"/>
            <w:vMerge w:val="restart"/>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分值构成</w:t>
            </w:r>
          </w:p>
          <w:p>
            <w:pPr>
              <w:adjustRightInd w:val="0"/>
              <w:snapToGrid w:val="0"/>
              <w:jc w:val="center"/>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（满分100分）</w:t>
            </w:r>
          </w:p>
        </w:tc>
        <w:tc>
          <w:tcPr>
            <w:tcW w:w="7939" w:type="dxa"/>
            <w:gridSpan w:val="3"/>
            <w:tcBorders>
              <w:top w:val="single" w:color="auto" w:sz="8" w:space="0"/>
              <w:left w:val="single" w:color="auto" w:sz="8" w:space="0"/>
              <w:bottom w:val="single" w:color="auto" w:sz="8" w:space="0"/>
              <w:right w:val="single" w:color="auto" w:sz="8" w:space="0"/>
            </w:tcBorders>
            <w:vAlign w:val="center"/>
          </w:tcPr>
          <w:p>
            <w:pP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供应商</w:t>
            </w:r>
            <w:r>
              <w:rPr>
                <w:rFonts w:ascii="Times New Roman" w:hAnsi="Times New Roman" w:eastAsia="宋体" w:cs="Times New Roman"/>
                <w:color w:val="auto"/>
                <w:szCs w:val="21"/>
                <w:highlight w:val="none"/>
              </w:rPr>
              <w:t>的评审总得分＝F1＋F2</w:t>
            </w:r>
            <w:r>
              <w:rPr>
                <w:rFonts w:hint="eastAsia" w:ascii="Times New Roman" w:hAnsi="Times New Roman" w:eastAsia="宋体" w:cs="Times New Roman"/>
                <w:color w:val="auto"/>
                <w:szCs w:val="21"/>
                <w:highlight w:val="none"/>
              </w:rPr>
              <w:t>+F3</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835" w:hRule="atLeast"/>
          <w:jc w:val="center"/>
        </w:trPr>
        <w:tc>
          <w:tcPr>
            <w:tcW w:w="1295" w:type="dxa"/>
            <w:gridSpan w:val="2"/>
            <w:vMerge w:val="continue"/>
            <w:tcBorders>
              <w:top w:val="single" w:color="auto" w:sz="8" w:space="0"/>
              <w:left w:val="single" w:color="auto" w:sz="8" w:space="0"/>
              <w:bottom w:val="single" w:color="auto" w:sz="8" w:space="0"/>
              <w:right w:val="single" w:color="auto" w:sz="8" w:space="0"/>
            </w:tcBorders>
            <w:vAlign w:val="center"/>
          </w:tcPr>
          <w:p>
            <w:pPr>
              <w:widowControl/>
              <w:adjustRightInd w:val="0"/>
              <w:snapToGrid w:val="0"/>
              <w:jc w:val="left"/>
              <w:rPr>
                <w:rFonts w:ascii="Times New Roman" w:hAnsi="Times New Roman" w:eastAsia="宋体" w:cs="Times New Roman"/>
                <w:color w:val="auto"/>
                <w:szCs w:val="21"/>
                <w:highlight w:val="none"/>
              </w:rPr>
            </w:pPr>
          </w:p>
        </w:tc>
        <w:tc>
          <w:tcPr>
            <w:tcW w:w="7939" w:type="dxa"/>
            <w:gridSpan w:val="3"/>
            <w:tcBorders>
              <w:top w:val="single" w:color="auto" w:sz="8" w:space="0"/>
              <w:left w:val="single" w:color="auto" w:sz="8" w:space="0"/>
              <w:bottom w:val="single" w:color="auto" w:sz="8" w:space="0"/>
              <w:right w:val="single" w:color="auto" w:sz="8" w:space="0"/>
            </w:tcBorders>
            <w:vAlign w:val="center"/>
          </w:tcPr>
          <w:p>
            <w:pPr>
              <w:ind w:left="1258" w:hanging="1258"/>
              <w:rPr>
                <w:rFonts w:ascii="Times New Roman" w:hAnsi="Times New Roman" w:cs="Times New Roman"/>
                <w:color w:val="auto"/>
                <w:highlight w:val="none"/>
              </w:rPr>
            </w:pPr>
            <w:r>
              <w:rPr>
                <w:rFonts w:ascii="Times New Roman" w:hAnsi="Times New Roman" w:cs="Times New Roman"/>
                <w:color w:val="auto"/>
                <w:highlight w:val="none"/>
              </w:rPr>
              <w:t>磋商报价（F1）：</w:t>
            </w:r>
            <w:r>
              <w:rPr>
                <w:rFonts w:hint="eastAsia" w:ascii="Times New Roman" w:hAnsi="Times New Roman" w:cs="Times New Roman"/>
                <w:color w:val="auto"/>
                <w:highlight w:val="none"/>
              </w:rPr>
              <w:t>20分；</w:t>
            </w:r>
          </w:p>
          <w:p>
            <w:pPr>
              <w:ind w:left="1258" w:hanging="1258"/>
              <w:rPr>
                <w:rFonts w:ascii="Times New Roman" w:hAnsi="Times New Roman" w:cs="Times New Roman"/>
                <w:color w:val="auto"/>
                <w:highlight w:val="none"/>
              </w:rPr>
            </w:pPr>
            <w:r>
              <w:rPr>
                <w:rFonts w:hint="eastAsia" w:ascii="Times New Roman" w:hAnsi="Times New Roman" w:cs="Times New Roman"/>
                <w:color w:val="auto"/>
                <w:highlight w:val="none"/>
              </w:rPr>
              <w:t>技术部分（F2）：45分；</w:t>
            </w:r>
          </w:p>
          <w:p>
            <w:pPr>
              <w:ind w:left="1258" w:hanging="1258"/>
              <w:rPr>
                <w:color w:val="auto"/>
                <w:highlight w:val="none"/>
              </w:rPr>
            </w:pPr>
            <w:r>
              <w:rPr>
                <w:rFonts w:hint="eastAsia" w:ascii="Times New Roman" w:hAnsi="Times New Roman" w:cs="Times New Roman"/>
                <w:color w:val="auto"/>
                <w:highlight w:val="none"/>
              </w:rPr>
              <w:t>商务部分（F3）：35</w:t>
            </w:r>
            <w:r>
              <w:rPr>
                <w:rFonts w:ascii="Times New Roman" w:hAnsi="Times New Roman" w:cs="Times New Roman"/>
                <w:color w:val="auto"/>
                <w:highlight w:val="none"/>
              </w:rPr>
              <w:t>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973" w:hRule="atLeast"/>
          <w:jc w:val="center"/>
        </w:trPr>
        <w:tc>
          <w:tcPr>
            <w:tcW w:w="1295" w:type="dxa"/>
            <w:gridSpan w:val="2"/>
            <w:tcBorders>
              <w:top w:val="single" w:color="auto" w:sz="8" w:space="0"/>
              <w:left w:val="single" w:color="auto" w:sz="8" w:space="0"/>
              <w:bottom w:val="single" w:color="auto" w:sz="8" w:space="0"/>
              <w:right w:val="single" w:color="auto" w:sz="8" w:space="0"/>
            </w:tcBorders>
            <w:vAlign w:val="center"/>
          </w:tcPr>
          <w:p>
            <w:pPr>
              <w:adjustRightInd w:val="0"/>
              <w:snapToGrid w:val="0"/>
              <w:jc w:val="center"/>
              <w:rPr>
                <w:rFonts w:ascii="Times New Roman" w:hAnsi="Times New Roman" w:eastAsia="宋体" w:cs="Times New Roman"/>
                <w:b/>
                <w:color w:val="auto"/>
                <w:szCs w:val="21"/>
                <w:highlight w:val="none"/>
              </w:rPr>
            </w:pPr>
            <w:r>
              <w:rPr>
                <w:rFonts w:ascii="Times New Roman" w:hAnsi="Times New Roman" w:eastAsia="宋体" w:cs="Times New Roman"/>
                <w:color w:val="auto"/>
                <w:kern w:val="0"/>
                <w:szCs w:val="21"/>
                <w:highlight w:val="none"/>
              </w:rPr>
              <w:t>评审基准价计算方法</w:t>
            </w:r>
          </w:p>
        </w:tc>
        <w:tc>
          <w:tcPr>
            <w:tcW w:w="7939" w:type="dxa"/>
            <w:gridSpan w:val="3"/>
            <w:tcBorders>
              <w:top w:val="single" w:color="auto" w:sz="8" w:space="0"/>
              <w:left w:val="single" w:color="auto" w:sz="8" w:space="0"/>
              <w:bottom w:val="single" w:color="auto" w:sz="8" w:space="0"/>
              <w:right w:val="single" w:color="auto" w:sz="8" w:space="0"/>
            </w:tcBorders>
            <w:vAlign w:val="center"/>
          </w:tcPr>
          <w:p>
            <w:pPr>
              <w:adjustRightInd w:val="0"/>
              <w:snapToGrid w:val="0"/>
              <w:rPr>
                <w:rFonts w:ascii="Times New Roman" w:hAnsi="Times New Roman" w:eastAsia="宋体" w:cs="Times New Roman"/>
                <w:b/>
                <w:color w:val="auto"/>
                <w:szCs w:val="21"/>
                <w:highlight w:val="none"/>
              </w:rPr>
            </w:pPr>
            <w:r>
              <w:rPr>
                <w:rFonts w:ascii="Times New Roman" w:hAnsi="Times New Roman" w:eastAsia="宋体" w:cs="Times New Roman"/>
                <w:color w:val="auto"/>
                <w:kern w:val="0"/>
                <w:szCs w:val="21"/>
                <w:highlight w:val="none"/>
              </w:rPr>
              <w:t>满足磋商文件要求且</w:t>
            </w:r>
            <w:r>
              <w:rPr>
                <w:rFonts w:hint="eastAsia" w:ascii="Times New Roman" w:hAnsi="Times New Roman" w:eastAsia="宋体" w:cs="Times New Roman"/>
                <w:color w:val="auto"/>
                <w:kern w:val="0"/>
                <w:szCs w:val="21"/>
                <w:highlight w:val="none"/>
              </w:rPr>
              <w:t>报价（二次）报价</w:t>
            </w:r>
            <w:r>
              <w:rPr>
                <w:rFonts w:ascii="Times New Roman" w:hAnsi="Times New Roman" w:eastAsia="宋体" w:cs="Times New Roman"/>
                <w:color w:val="auto"/>
                <w:kern w:val="0"/>
                <w:szCs w:val="21"/>
                <w:highlight w:val="none"/>
              </w:rPr>
              <w:t>最低的</w:t>
            </w:r>
            <w:r>
              <w:rPr>
                <w:rFonts w:hint="eastAsia" w:ascii="Times New Roman" w:hAnsi="Times New Roman" w:eastAsia="宋体" w:cs="Times New Roman"/>
                <w:color w:val="auto"/>
                <w:kern w:val="0"/>
                <w:szCs w:val="21"/>
                <w:highlight w:val="none"/>
              </w:rPr>
              <w:t>投标</w:t>
            </w:r>
            <w:r>
              <w:rPr>
                <w:rFonts w:ascii="Times New Roman" w:hAnsi="Times New Roman" w:eastAsia="宋体" w:cs="Times New Roman"/>
                <w:color w:val="auto"/>
                <w:kern w:val="0"/>
                <w:szCs w:val="21"/>
                <w:highlight w:val="none"/>
              </w:rPr>
              <w:t>报价为</w:t>
            </w:r>
            <w:r>
              <w:rPr>
                <w:rFonts w:hint="eastAsia" w:ascii="Times New Roman" w:hAnsi="Times New Roman" w:eastAsia="宋体" w:cs="Times New Roman"/>
                <w:color w:val="auto"/>
                <w:kern w:val="0"/>
                <w:szCs w:val="21"/>
                <w:highlight w:val="none"/>
              </w:rPr>
              <w:t>磋商</w:t>
            </w:r>
            <w:r>
              <w:rPr>
                <w:rFonts w:ascii="Times New Roman" w:hAnsi="Times New Roman" w:eastAsia="宋体" w:cs="Times New Roman"/>
                <w:color w:val="auto"/>
                <w:kern w:val="0"/>
                <w:szCs w:val="21"/>
                <w:highlight w:val="none"/>
              </w:rPr>
              <w:t>基准价</w:t>
            </w:r>
          </w:p>
        </w:tc>
      </w:tr>
    </w:tbl>
    <w:p>
      <w:pPr>
        <w:rPr>
          <w:rFonts w:ascii="Times New Roman" w:hAnsi="Times New Roman" w:cs="Times New Roman"/>
          <w:color w:val="auto"/>
          <w:szCs w:val="21"/>
          <w:highlight w:val="none"/>
        </w:rPr>
        <w:sectPr>
          <w:pgSz w:w="11906" w:h="16838"/>
          <w:pgMar w:top="1440" w:right="1800" w:bottom="1440" w:left="1800" w:header="851" w:footer="992" w:gutter="0"/>
          <w:cols w:space="425" w:num="1"/>
          <w:docGrid w:type="lines" w:linePitch="312" w:charSpace="0"/>
        </w:sectPr>
      </w:pPr>
    </w:p>
    <w:p>
      <w:pPr>
        <w:rPr>
          <w:rFonts w:ascii="宋体" w:hAnsi="宋体" w:cs="宋体"/>
          <w:color w:val="auto"/>
          <w:sz w:val="24"/>
          <w:highlight w:val="none"/>
        </w:rPr>
      </w:pPr>
      <w:r>
        <w:rPr>
          <w:rFonts w:ascii="Times New Roman" w:hAnsi="Times New Roman" w:cs="Times New Roman"/>
          <w:color w:val="auto"/>
          <w:szCs w:val="21"/>
          <w:highlight w:val="none"/>
        </w:rPr>
        <w:t>续表1</w:t>
      </w:r>
    </w:p>
    <w:tbl>
      <w:tblPr>
        <w:tblStyle w:val="22"/>
        <w:tblW w:w="9434" w:type="dxa"/>
        <w:jc w:val="center"/>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817"/>
        <w:gridCol w:w="817"/>
        <w:gridCol w:w="1665"/>
        <w:gridCol w:w="6135"/>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63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auto"/>
                <w:szCs w:val="21"/>
                <w:highlight w:val="none"/>
              </w:rPr>
            </w:pPr>
            <w:r>
              <w:rPr>
                <w:rFonts w:ascii="Times New Roman" w:hAnsi="Times New Roman" w:eastAsia="宋体" w:cs="Times New Roman"/>
                <w:b/>
                <w:color w:val="auto"/>
                <w:szCs w:val="21"/>
                <w:highlight w:val="none"/>
              </w:rPr>
              <w:t>条款号</w:t>
            </w:r>
          </w:p>
        </w:tc>
        <w:tc>
          <w:tcPr>
            <w:tcW w:w="166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color w:val="auto"/>
                <w:szCs w:val="21"/>
                <w:highlight w:val="none"/>
              </w:rPr>
            </w:pPr>
            <w:r>
              <w:rPr>
                <w:rFonts w:ascii="Times New Roman" w:hAnsi="Times New Roman" w:eastAsia="宋体" w:cs="Times New Roman"/>
                <w:b/>
                <w:color w:val="auto"/>
                <w:szCs w:val="21"/>
                <w:highlight w:val="none"/>
              </w:rPr>
              <w:t>评分因素</w:t>
            </w:r>
          </w:p>
        </w:tc>
        <w:tc>
          <w:tcPr>
            <w:tcW w:w="6135"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b/>
                <w:color w:val="auto"/>
                <w:szCs w:val="21"/>
                <w:highlight w:val="none"/>
              </w:rPr>
            </w:pPr>
            <w:r>
              <w:rPr>
                <w:rFonts w:ascii="Times New Roman" w:hAnsi="Times New Roman" w:eastAsia="宋体" w:cs="Times New Roman"/>
                <w:b/>
                <w:color w:val="auto"/>
                <w:szCs w:val="21"/>
                <w:highlight w:val="none"/>
              </w:rPr>
              <w:t>评分标准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812" w:hRule="atLeast"/>
          <w:jc w:val="center"/>
        </w:trPr>
        <w:tc>
          <w:tcPr>
            <w:tcW w:w="81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2.2.3（1）</w:t>
            </w:r>
          </w:p>
        </w:tc>
        <w:tc>
          <w:tcPr>
            <w:tcW w:w="81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磋商报价</w:t>
            </w:r>
          </w:p>
          <w:p>
            <w:pPr>
              <w:jc w:val="cente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（20分）</w:t>
            </w:r>
          </w:p>
          <w:p>
            <w:pPr>
              <w:jc w:val="center"/>
              <w:rPr>
                <w:rFonts w:ascii="Times New Roman" w:hAnsi="Times New Roman" w:eastAsia="宋体" w:cs="Times New Roman"/>
                <w:color w:val="auto"/>
                <w:szCs w:val="21"/>
                <w:highlight w:val="none"/>
              </w:rPr>
            </w:pPr>
          </w:p>
        </w:tc>
        <w:tc>
          <w:tcPr>
            <w:tcW w:w="1665"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磋商报价评分计算公式</w:t>
            </w:r>
          </w:p>
        </w:tc>
        <w:tc>
          <w:tcPr>
            <w:tcW w:w="6135" w:type="dxa"/>
            <w:tcBorders>
              <w:top w:val="single" w:color="auto" w:sz="4" w:space="0"/>
              <w:left w:val="single" w:color="auto" w:sz="4" w:space="0"/>
              <w:bottom w:val="single" w:color="auto" w:sz="4" w:space="0"/>
              <w:right w:val="single" w:color="auto" w:sz="4" w:space="0"/>
            </w:tcBorders>
            <w:vAlign w:val="center"/>
          </w:tcPr>
          <w:p>
            <w:pPr>
              <w:pStyle w:val="28"/>
              <w:rPr>
                <w:rFonts w:ascii="Times New Roman" w:eastAsia="宋体" w:cs="Times New Roman"/>
                <w:color w:val="auto"/>
                <w:kern w:val="2"/>
                <w:sz w:val="21"/>
                <w:szCs w:val="21"/>
                <w:highlight w:val="none"/>
              </w:rPr>
            </w:pPr>
            <w:r>
              <w:rPr>
                <w:rFonts w:hint="eastAsia" w:ascii="Times New Roman" w:eastAsia="宋体" w:cs="Times New Roman"/>
                <w:color w:val="auto"/>
                <w:kern w:val="2"/>
                <w:sz w:val="21"/>
                <w:szCs w:val="21"/>
                <w:highlight w:val="none"/>
              </w:rPr>
              <w:t>价格分采用低价优先法计算，即满足招标文件要求且投标价格最低的投标报价为评标基准价，其价格分为满分，其他有效投标人的价格分按照下列公式计算：</w:t>
            </w:r>
          </w:p>
          <w:p>
            <w:pPr>
              <w:pStyle w:val="28"/>
              <w:rPr>
                <w:rFonts w:ascii="Times New Roman" w:eastAsia="宋体" w:cs="Times New Roman"/>
                <w:color w:val="auto"/>
                <w:kern w:val="2"/>
                <w:sz w:val="21"/>
                <w:szCs w:val="21"/>
                <w:highlight w:val="none"/>
              </w:rPr>
            </w:pPr>
            <w:r>
              <w:rPr>
                <w:rFonts w:hint="eastAsia" w:ascii="Times New Roman" w:eastAsia="宋体" w:cs="Times New Roman"/>
                <w:color w:val="auto"/>
                <w:kern w:val="2"/>
                <w:sz w:val="21"/>
                <w:szCs w:val="21"/>
                <w:highlight w:val="none"/>
              </w:rPr>
              <w:t>投标报价得分=(评标基准价／投标报价)×20；</w:t>
            </w:r>
          </w:p>
          <w:p>
            <w:pPr>
              <w:pStyle w:val="28"/>
              <w:rPr>
                <w:rFonts w:ascii="Times New Roman" w:eastAsia="宋体" w:cs="Times New Roman"/>
                <w:color w:val="auto"/>
                <w:kern w:val="2"/>
                <w:sz w:val="21"/>
                <w:szCs w:val="21"/>
                <w:highlight w:val="none"/>
              </w:rPr>
            </w:pPr>
            <w:r>
              <w:rPr>
                <w:rFonts w:hint="eastAsia" w:ascii="Times New Roman" w:eastAsia="宋体" w:cs="Times New Roman"/>
                <w:color w:val="auto"/>
                <w:kern w:val="2"/>
                <w:sz w:val="21"/>
                <w:szCs w:val="21"/>
                <w:highlight w:val="none"/>
              </w:rPr>
              <w:t>投标人的投标报价若高于预算价的，该项得“0”分。注：</w:t>
            </w:r>
          </w:p>
          <w:p>
            <w:pPr>
              <w:pStyle w:val="28"/>
              <w:rPr>
                <w:rFonts w:ascii="Times New Roman" w:eastAsia="宋体" w:cs="Times New Roman"/>
                <w:color w:val="auto"/>
                <w:kern w:val="2"/>
                <w:sz w:val="21"/>
                <w:szCs w:val="21"/>
                <w:highlight w:val="none"/>
              </w:rPr>
            </w:pPr>
            <w:r>
              <w:rPr>
                <w:rFonts w:hint="eastAsia" w:ascii="Times New Roman" w:eastAsia="宋体" w:cs="Times New Roman"/>
                <w:color w:val="auto"/>
                <w:kern w:val="2"/>
                <w:sz w:val="21"/>
                <w:szCs w:val="21"/>
                <w:highlight w:val="none"/>
              </w:rPr>
              <w:t>1、因落实政府采购政策进行价格调整的，以调整后的价格计算评标基准价和投标报价；</w:t>
            </w:r>
          </w:p>
          <w:p>
            <w:pPr>
              <w:pStyle w:val="28"/>
              <w:rPr>
                <w:rFonts w:ascii="Times New Roman" w:eastAsia="宋体" w:cs="Times New Roman"/>
                <w:color w:val="auto"/>
                <w:kern w:val="2"/>
                <w:sz w:val="21"/>
                <w:szCs w:val="21"/>
                <w:highlight w:val="none"/>
              </w:rPr>
            </w:pPr>
            <w:r>
              <w:rPr>
                <w:rFonts w:hint="eastAsia" w:ascii="Times New Roman" w:eastAsia="宋体" w:cs="Times New Roman"/>
                <w:color w:val="auto"/>
                <w:kern w:val="2"/>
                <w:sz w:val="21"/>
                <w:szCs w:val="21"/>
                <w:highlight w:val="none"/>
              </w:rPr>
              <w:t>2、若货物服务为小微型企业（残疾人福利性单位、监狱企业）产品、服务，请在投标分项报价表备注栏中标明并同时提供证明材料，经评标委员会核实方可获得价格扣除；</w:t>
            </w:r>
          </w:p>
          <w:p>
            <w:pPr>
              <w:pStyle w:val="28"/>
              <w:rPr>
                <w:rFonts w:ascii="Times New Roman" w:eastAsia="宋体" w:cs="Times New Roman"/>
                <w:color w:val="auto"/>
                <w:kern w:val="2"/>
                <w:sz w:val="21"/>
                <w:szCs w:val="21"/>
                <w:highlight w:val="none"/>
              </w:rPr>
            </w:pPr>
            <w:r>
              <w:rPr>
                <w:rFonts w:hint="eastAsia" w:ascii="Times New Roman" w:eastAsia="宋体" w:cs="Times New Roman"/>
                <w:color w:val="auto"/>
                <w:kern w:val="2"/>
                <w:sz w:val="21"/>
                <w:szCs w:val="21"/>
                <w:highlight w:val="none"/>
              </w:rPr>
              <w:t>3、对小型和微型企业产品、服务的价格给予10%的扣除(即：评标价=投标报价×[1-10%])，用扣除后的价格参与评审（如为联合体，联合协议中约定，小型、微型企业的协议合同金额占到联合体协议合同总金额30%以上的，可给予联合体4%的价格扣除）；</w:t>
            </w:r>
          </w:p>
          <w:p>
            <w:pPr>
              <w:pStyle w:val="28"/>
              <w:rPr>
                <w:rFonts w:ascii="Times New Roman" w:eastAsia="宋体" w:cs="Times New Roman"/>
                <w:color w:val="auto"/>
                <w:kern w:val="2"/>
                <w:sz w:val="21"/>
                <w:szCs w:val="21"/>
                <w:highlight w:val="none"/>
              </w:rPr>
            </w:pPr>
            <w:r>
              <w:rPr>
                <w:rFonts w:hint="eastAsia" w:ascii="Times New Roman" w:eastAsia="宋体" w:cs="Times New Roman"/>
                <w:color w:val="auto"/>
                <w:kern w:val="2"/>
                <w:sz w:val="21"/>
                <w:szCs w:val="21"/>
                <w:highlight w:val="none"/>
              </w:rPr>
              <w:t>4、残疾人福利性单位（监狱企业）产品、服务视同小型、微型企业产品、服务，享受同等价格扣除；</w:t>
            </w:r>
          </w:p>
          <w:p>
            <w:pPr>
              <w:pStyle w:val="28"/>
              <w:rPr>
                <w:color w:val="auto"/>
                <w:highlight w:val="none"/>
              </w:rPr>
            </w:pPr>
            <w:r>
              <w:rPr>
                <w:rFonts w:hint="eastAsia" w:ascii="Times New Roman" w:eastAsia="宋体" w:cs="Times New Roman"/>
                <w:color w:val="auto"/>
                <w:kern w:val="2"/>
                <w:sz w:val="21"/>
                <w:szCs w:val="21"/>
                <w:highlight w:val="none"/>
              </w:rPr>
              <w:t>5、投标人仅能获得一种政策的价格扣除，不重复享受。</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993" w:hRule="atLeast"/>
          <w:jc w:val="center"/>
        </w:trPr>
        <w:tc>
          <w:tcPr>
            <w:tcW w:w="817" w:type="dxa"/>
            <w:vMerge w:val="continue"/>
            <w:tcBorders>
              <w:top w:val="single" w:color="auto" w:sz="4" w:space="0"/>
              <w:left w:val="single" w:color="auto" w:sz="4" w:space="0"/>
              <w:bottom w:val="single" w:color="auto" w:sz="4" w:space="0"/>
              <w:right w:val="single" w:color="auto" w:sz="6" w:space="0"/>
            </w:tcBorders>
            <w:vAlign w:val="center"/>
          </w:tcPr>
          <w:p>
            <w:pPr>
              <w:jc w:val="center"/>
              <w:rPr>
                <w:rFonts w:ascii="Times New Roman" w:hAnsi="Times New Roman" w:eastAsia="宋体" w:cs="Times New Roman"/>
                <w:color w:val="auto"/>
                <w:szCs w:val="21"/>
                <w:highlight w:val="none"/>
              </w:rPr>
            </w:pPr>
          </w:p>
        </w:tc>
        <w:tc>
          <w:tcPr>
            <w:tcW w:w="817" w:type="dxa"/>
            <w:vMerge w:val="continue"/>
            <w:tcBorders>
              <w:top w:val="single" w:color="auto" w:sz="4" w:space="0"/>
              <w:left w:val="single" w:color="auto" w:sz="6" w:space="0"/>
              <w:bottom w:val="single" w:color="auto" w:sz="4" w:space="0"/>
              <w:right w:val="single" w:color="auto" w:sz="6" w:space="0"/>
            </w:tcBorders>
            <w:vAlign w:val="center"/>
          </w:tcPr>
          <w:p>
            <w:pPr>
              <w:jc w:val="center"/>
              <w:rPr>
                <w:rFonts w:ascii="Times New Roman" w:hAnsi="Times New Roman" w:eastAsia="宋体" w:cs="Times New Roman"/>
                <w:color w:val="auto"/>
                <w:szCs w:val="21"/>
                <w:highlight w:val="none"/>
              </w:rPr>
            </w:pPr>
          </w:p>
        </w:tc>
        <w:tc>
          <w:tcPr>
            <w:tcW w:w="1665" w:type="dxa"/>
            <w:vMerge w:val="continue"/>
            <w:tcBorders>
              <w:top w:val="single" w:color="auto" w:sz="4" w:space="0"/>
              <w:left w:val="single" w:color="auto" w:sz="6" w:space="0"/>
              <w:bottom w:val="single" w:color="auto" w:sz="4" w:space="0"/>
              <w:right w:val="single" w:color="auto" w:sz="6" w:space="0"/>
            </w:tcBorders>
            <w:vAlign w:val="center"/>
          </w:tcPr>
          <w:p>
            <w:pPr>
              <w:jc w:val="center"/>
              <w:rPr>
                <w:rFonts w:ascii="Times New Roman" w:hAnsi="Times New Roman" w:eastAsia="宋体" w:cs="Times New Roman"/>
                <w:color w:val="auto"/>
                <w:szCs w:val="21"/>
                <w:highlight w:val="none"/>
              </w:rPr>
            </w:pPr>
          </w:p>
        </w:tc>
        <w:tc>
          <w:tcPr>
            <w:tcW w:w="6135" w:type="dxa"/>
            <w:tcBorders>
              <w:top w:val="single" w:color="auto" w:sz="4" w:space="0"/>
              <w:left w:val="single" w:color="auto" w:sz="6" w:space="0"/>
              <w:bottom w:val="single" w:color="auto" w:sz="6" w:space="0"/>
              <w:right w:val="single" w:color="auto" w:sz="8" w:space="0"/>
            </w:tcBorders>
            <w:vAlign w:val="center"/>
          </w:tcPr>
          <w:p>
            <w:pPr>
              <w:rPr>
                <w:rFonts w:ascii="Times New Roman" w:hAnsi="Times New Roman" w:eastAsia="宋体" w:cs="Times New Roman"/>
                <w:color w:val="auto"/>
                <w:szCs w:val="21"/>
                <w:highlight w:val="none"/>
              </w:rPr>
            </w:pPr>
            <w:r>
              <w:rPr>
                <w:rFonts w:ascii="Times New Roman" w:hAnsi="Times New Roman" w:eastAsia="宋体" w:cs="Times New Roman"/>
                <w:bCs/>
                <w:color w:val="auto"/>
                <w:szCs w:val="21"/>
                <w:highlight w:val="none"/>
              </w:rPr>
              <w:t>供应商报价明显低于其他通过符合性审查的供应商的报价，但供应商不能证明其报价合理性的，报价评审得0分；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091" w:hRule="atLeast"/>
          <w:jc w:val="center"/>
        </w:trPr>
        <w:tc>
          <w:tcPr>
            <w:tcW w:w="817" w:type="dxa"/>
            <w:vMerge w:val="restart"/>
            <w:tcBorders>
              <w:top w:val="single" w:color="auto" w:sz="4" w:space="0"/>
              <w:left w:val="single" w:color="auto" w:sz="4" w:space="0"/>
              <w:right w:val="single" w:color="auto" w:sz="4" w:space="0"/>
            </w:tcBorders>
            <w:vAlign w:val="center"/>
          </w:tcPr>
          <w:p>
            <w:pPr>
              <w:jc w:val="center"/>
              <w:rPr>
                <w:rFonts w:ascii="Times New Roman" w:hAnsi="Times New Roman" w:cs="Times New Roman"/>
                <w:color w:val="auto"/>
                <w:highlight w:val="none"/>
              </w:rPr>
            </w:pPr>
          </w:p>
          <w:p>
            <w:pPr>
              <w:jc w:val="center"/>
              <w:rPr>
                <w:rFonts w:ascii="Times New Roman" w:hAnsi="Times New Roman" w:cs="Times New Roman"/>
                <w:color w:val="auto"/>
                <w:highlight w:val="none"/>
              </w:rPr>
            </w:pPr>
          </w:p>
          <w:p>
            <w:pPr>
              <w:jc w:val="center"/>
              <w:rPr>
                <w:rFonts w:ascii="Times New Roman" w:hAnsi="Times New Roman" w:cs="Times New Roman"/>
                <w:color w:val="auto"/>
                <w:highlight w:val="none"/>
              </w:rPr>
            </w:pPr>
          </w:p>
          <w:p>
            <w:pPr>
              <w:jc w:val="center"/>
              <w:rPr>
                <w:rFonts w:ascii="Times New Roman" w:hAnsi="Times New Roman" w:cs="Times New Roman"/>
                <w:color w:val="auto"/>
                <w:highlight w:val="none"/>
              </w:rPr>
            </w:pPr>
          </w:p>
          <w:p>
            <w:pPr>
              <w:jc w:val="center"/>
              <w:rPr>
                <w:rFonts w:ascii="Times New Roman" w:hAnsi="Times New Roman" w:cs="Times New Roman"/>
                <w:color w:val="auto"/>
                <w:highlight w:val="none"/>
              </w:rPr>
            </w:pPr>
          </w:p>
          <w:p>
            <w:pPr>
              <w:jc w:val="center"/>
              <w:rPr>
                <w:rFonts w:ascii="Times New Roman" w:hAnsi="Times New Roman" w:cs="Times New Roman"/>
                <w:color w:val="auto"/>
                <w:highlight w:val="none"/>
              </w:rPr>
            </w:pPr>
          </w:p>
          <w:p>
            <w:pPr>
              <w:jc w:val="center"/>
              <w:rPr>
                <w:rFonts w:ascii="Times New Roman" w:hAnsi="Times New Roman" w:cs="Times New Roman"/>
                <w:color w:val="auto"/>
                <w:highlight w:val="none"/>
              </w:rPr>
            </w:pPr>
            <w:r>
              <w:rPr>
                <w:rFonts w:ascii="Times New Roman" w:hAnsi="Times New Roman" w:cs="Times New Roman"/>
                <w:color w:val="auto"/>
                <w:highlight w:val="none"/>
              </w:rPr>
              <w:t>2.2.3</w:t>
            </w:r>
          </w:p>
          <w:p>
            <w:pPr>
              <w:jc w:val="center"/>
              <w:rPr>
                <w:rFonts w:ascii="Times New Roman" w:hAnsi="Times New Roman" w:eastAsia="宋体" w:cs="Times New Roman"/>
                <w:color w:val="auto"/>
                <w:szCs w:val="21"/>
                <w:highlight w:val="none"/>
              </w:rPr>
            </w:pPr>
            <w:r>
              <w:rPr>
                <w:rFonts w:ascii="Times New Roman" w:hAnsi="Times New Roman" w:cs="Times New Roman"/>
                <w:color w:val="auto"/>
                <w:highlight w:val="none"/>
              </w:rPr>
              <w:t>（2）</w:t>
            </w:r>
          </w:p>
        </w:tc>
        <w:tc>
          <w:tcPr>
            <w:tcW w:w="817" w:type="dxa"/>
            <w:vMerge w:val="restart"/>
            <w:tcBorders>
              <w:top w:val="single" w:color="auto" w:sz="4" w:space="0"/>
              <w:left w:val="single" w:color="auto" w:sz="4" w:space="0"/>
              <w:right w:val="single" w:color="auto" w:sz="4" w:space="0"/>
            </w:tcBorders>
            <w:vAlign w:val="center"/>
          </w:tcPr>
          <w:p>
            <w:pPr>
              <w:pStyle w:val="8"/>
              <w:ind w:firstLine="0" w:firstLineChars="0"/>
              <w:rPr>
                <w:rFonts w:ascii="Times New Roman" w:hAnsi="Times New Roman" w:eastAsia="宋体" w:cs="Times New Roman"/>
                <w:color w:val="auto"/>
                <w:sz w:val="21"/>
                <w:szCs w:val="21"/>
                <w:highlight w:val="none"/>
              </w:rPr>
            </w:pPr>
          </w:p>
          <w:p>
            <w:pPr>
              <w:pStyle w:val="8"/>
              <w:ind w:firstLine="0" w:firstLineChars="0"/>
              <w:rPr>
                <w:rFonts w:ascii="Times New Roman" w:hAnsi="Times New Roman" w:eastAsia="宋体" w:cs="Times New Roman"/>
                <w:color w:val="auto"/>
                <w:sz w:val="21"/>
                <w:szCs w:val="21"/>
                <w:highlight w:val="none"/>
              </w:rPr>
            </w:pPr>
          </w:p>
          <w:p>
            <w:pPr>
              <w:pStyle w:val="8"/>
              <w:ind w:firstLine="0" w:firstLineChars="0"/>
              <w:rPr>
                <w:rFonts w:ascii="Times New Roman" w:hAnsi="Times New Roman" w:eastAsia="宋体" w:cs="Times New Roman"/>
                <w:color w:val="auto"/>
                <w:sz w:val="21"/>
                <w:szCs w:val="21"/>
                <w:highlight w:val="none"/>
              </w:rPr>
            </w:pPr>
          </w:p>
          <w:p>
            <w:pPr>
              <w:pStyle w:val="8"/>
              <w:ind w:firstLine="0" w:firstLineChars="0"/>
              <w:rPr>
                <w:rFonts w:ascii="Times New Roman" w:hAnsi="Times New Roman" w:eastAsia="宋体" w:cs="Times New Roman"/>
                <w:color w:val="auto"/>
                <w:sz w:val="21"/>
                <w:szCs w:val="21"/>
                <w:highlight w:val="none"/>
              </w:rPr>
            </w:pPr>
          </w:p>
          <w:p>
            <w:pPr>
              <w:pStyle w:val="8"/>
              <w:ind w:firstLine="0" w:firstLineChars="0"/>
              <w:rPr>
                <w:rFonts w:ascii="Times New Roman" w:hAnsi="Times New Roman" w:eastAsia="宋体" w:cs="Times New Roman"/>
                <w:color w:val="auto"/>
                <w:sz w:val="21"/>
                <w:szCs w:val="21"/>
                <w:highlight w:val="none"/>
              </w:rPr>
            </w:pPr>
          </w:p>
          <w:p>
            <w:pPr>
              <w:pStyle w:val="8"/>
              <w:ind w:firstLine="0" w:firstLineChars="0"/>
              <w:rPr>
                <w:rFonts w:ascii="Times New Roman" w:hAnsi="Times New Roman" w:eastAsia="宋体" w:cs="Times New Roman"/>
                <w:color w:val="auto"/>
                <w:sz w:val="21"/>
                <w:szCs w:val="21"/>
                <w:highlight w:val="none"/>
              </w:rPr>
            </w:pPr>
          </w:p>
          <w:p>
            <w:pPr>
              <w:pStyle w:val="8"/>
              <w:ind w:firstLine="0" w:firstLineChars="0"/>
              <w:rPr>
                <w:rFonts w:ascii="Times New Roman" w:hAnsi="Times New Roman" w:eastAsia="宋体" w:cs="Times New Roman"/>
                <w:color w:val="auto"/>
                <w:sz w:val="21"/>
                <w:szCs w:val="21"/>
                <w:highlight w:val="none"/>
              </w:rPr>
            </w:pPr>
          </w:p>
          <w:p>
            <w:pPr>
              <w:pStyle w:val="8"/>
              <w:ind w:firstLine="0" w:firstLineChars="0"/>
              <w:rPr>
                <w:rFonts w:ascii="Times New Roman" w:hAnsi="Times New Roman" w:eastAsia="宋体" w:cs="Times New Roman"/>
                <w:color w:val="auto"/>
                <w:sz w:val="21"/>
                <w:szCs w:val="21"/>
                <w:highlight w:val="none"/>
              </w:rPr>
            </w:pPr>
          </w:p>
          <w:p>
            <w:pPr>
              <w:pStyle w:val="8"/>
              <w:ind w:firstLine="0" w:firstLineChars="0"/>
              <w:rPr>
                <w:rFonts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rPr>
              <w:t>技术部分（45分）</w:t>
            </w:r>
          </w:p>
        </w:tc>
        <w:tc>
          <w:tcPr>
            <w:tcW w:w="1665" w:type="dxa"/>
            <w:tcBorders>
              <w:top w:val="single" w:color="auto" w:sz="4" w:space="0"/>
              <w:left w:val="single" w:color="auto" w:sz="4" w:space="0"/>
              <w:bottom w:val="single" w:color="auto" w:sz="4" w:space="0"/>
              <w:right w:val="single" w:color="auto" w:sz="4" w:space="0"/>
            </w:tcBorders>
            <w:vAlign w:val="center"/>
          </w:tcPr>
          <w:p>
            <w:pPr>
              <w:pStyle w:val="8"/>
              <w:ind w:firstLine="0" w:firstLineChars="0"/>
              <w:jc w:val="center"/>
              <w:rPr>
                <w:rFonts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rPr>
              <w:t>实施方案</w:t>
            </w:r>
          </w:p>
          <w:p>
            <w:pPr>
              <w:pStyle w:val="8"/>
              <w:ind w:firstLine="0" w:firstLineChars="0"/>
              <w:jc w:val="center"/>
              <w:rPr>
                <w:rFonts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rPr>
              <w:t>（满分30）</w:t>
            </w:r>
          </w:p>
        </w:tc>
        <w:tc>
          <w:tcPr>
            <w:tcW w:w="6135" w:type="dxa"/>
            <w:tcBorders>
              <w:top w:val="single" w:color="auto" w:sz="6" w:space="0"/>
              <w:left w:val="single" w:color="auto" w:sz="4" w:space="0"/>
              <w:bottom w:val="single" w:color="auto" w:sz="6" w:space="0"/>
              <w:right w:val="single" w:color="auto" w:sz="8" w:space="0"/>
            </w:tcBorders>
            <w:vAlign w:val="center"/>
          </w:tcPr>
          <w:p>
            <w:pPr>
              <w:adjustRightInd w:val="0"/>
              <w:snapToGrid w:val="0"/>
              <w:spacing w:line="276" w:lineRule="auto"/>
              <w:jc w:val="left"/>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第一档（21-30分）：对采购项目理解思路清晰，实施方案满足采购人的需求，科学合理，具有较强的可操作性的。</w:t>
            </w:r>
          </w:p>
          <w:p>
            <w:pPr>
              <w:adjustRightInd w:val="0"/>
              <w:snapToGrid w:val="0"/>
              <w:spacing w:line="276" w:lineRule="auto"/>
              <w:jc w:val="left"/>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第二档（11-20分）：对采购项目理解思路清晰、实施方案合理，基本满足采购人的工作要求，科学合理，可操作性一般的。</w:t>
            </w:r>
          </w:p>
          <w:p>
            <w:pPr>
              <w:adjustRightInd w:val="0"/>
              <w:snapToGrid w:val="0"/>
              <w:spacing w:line="276" w:lineRule="auto"/>
              <w:jc w:val="left"/>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第三档（0-10分）：对采购项目理解思路清楚、实施方案理念基本合理，科学合理，理解一般、存在一定差异，可操作性一般的。</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097" w:hRule="atLeast"/>
          <w:jc w:val="center"/>
        </w:trPr>
        <w:tc>
          <w:tcPr>
            <w:tcW w:w="817"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color w:val="auto"/>
                <w:szCs w:val="21"/>
                <w:highlight w:val="none"/>
              </w:rPr>
            </w:pPr>
          </w:p>
        </w:tc>
        <w:tc>
          <w:tcPr>
            <w:tcW w:w="817" w:type="dxa"/>
            <w:vMerge w:val="continue"/>
            <w:tcBorders>
              <w:left w:val="single" w:color="auto" w:sz="4" w:space="0"/>
              <w:right w:val="single" w:color="auto" w:sz="4" w:space="0"/>
            </w:tcBorders>
            <w:vAlign w:val="center"/>
          </w:tcPr>
          <w:p>
            <w:pPr>
              <w:widowControl/>
              <w:jc w:val="left"/>
              <w:rPr>
                <w:rFonts w:ascii="Times New Roman" w:hAnsi="Times New Roman" w:eastAsia="宋体" w:cs="Times New Roman"/>
                <w:color w:val="auto"/>
                <w:szCs w:val="21"/>
                <w:highlight w:val="none"/>
              </w:rPr>
            </w:pPr>
          </w:p>
        </w:tc>
        <w:tc>
          <w:tcPr>
            <w:tcW w:w="1665" w:type="dxa"/>
            <w:tcBorders>
              <w:top w:val="single" w:color="auto" w:sz="4" w:space="0"/>
              <w:left w:val="single" w:color="auto" w:sz="4" w:space="0"/>
              <w:bottom w:val="single" w:color="auto" w:sz="4" w:space="0"/>
              <w:right w:val="single" w:color="auto" w:sz="4" w:space="0"/>
            </w:tcBorders>
            <w:vAlign w:val="center"/>
          </w:tcPr>
          <w:p>
            <w:pPr>
              <w:pStyle w:val="21"/>
              <w:ind w:firstLine="0" w:firstLineChars="0"/>
              <w:jc w:val="center"/>
              <w:rPr>
                <w:rFonts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rPr>
              <w:t>人员、设备配置情况</w:t>
            </w:r>
          </w:p>
          <w:p>
            <w:pPr>
              <w:pStyle w:val="21"/>
              <w:ind w:firstLine="0" w:firstLineChars="0"/>
              <w:rPr>
                <w:rFonts w:ascii="Times New Roman" w:hAnsi="Times New Roman" w:eastAsia="宋体" w:cs="Times New Roman"/>
                <w:color w:val="auto"/>
                <w:sz w:val="21"/>
                <w:szCs w:val="21"/>
                <w:highlight w:val="none"/>
              </w:rPr>
            </w:pPr>
            <w:r>
              <w:rPr>
                <w:rFonts w:hint="eastAsia" w:ascii="Times New Roman" w:hAnsi="Times New Roman" w:eastAsia="宋体" w:cs="Times New Roman"/>
                <w:color w:val="auto"/>
                <w:sz w:val="21"/>
                <w:szCs w:val="21"/>
                <w:highlight w:val="none"/>
              </w:rPr>
              <w:t>（满分15分）</w:t>
            </w:r>
          </w:p>
        </w:tc>
        <w:tc>
          <w:tcPr>
            <w:tcW w:w="6135" w:type="dxa"/>
            <w:tcBorders>
              <w:top w:val="single" w:color="auto" w:sz="4" w:space="0"/>
              <w:left w:val="single" w:color="auto" w:sz="4" w:space="0"/>
              <w:bottom w:val="single" w:color="auto" w:sz="6" w:space="0"/>
              <w:right w:val="single" w:color="auto" w:sz="8" w:space="0"/>
            </w:tcBorders>
            <w:vAlign w:val="center"/>
          </w:tcPr>
          <w:p>
            <w:pPr>
              <w:spacing w:line="276" w:lineRule="auto"/>
              <w:jc w:val="left"/>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第一档次（11</w:t>
            </w:r>
            <w:r>
              <w:rPr>
                <w:rFonts w:ascii="Times New Roman" w:hAnsi="Times New Roman" w:eastAsia="宋体" w:cs="Times New Roman"/>
                <w:color w:val="auto"/>
                <w:szCs w:val="21"/>
                <w:highlight w:val="none"/>
              </w:rPr>
              <w:t>-1</w:t>
            </w:r>
            <w:r>
              <w:rPr>
                <w:rFonts w:hint="eastAsia" w:ascii="Times New Roman" w:hAnsi="Times New Roman" w:eastAsia="宋体" w:cs="Times New Roman"/>
                <w:color w:val="auto"/>
                <w:szCs w:val="21"/>
                <w:highlight w:val="none"/>
              </w:rPr>
              <w:t>5分）：拟投入本项目的设备配置非常齐全、服务人员数量充足、人员专业素质较优，工作机制能有效运行，岗位职责齐全、清晰的；</w:t>
            </w:r>
          </w:p>
          <w:p>
            <w:pPr>
              <w:spacing w:line="276" w:lineRule="auto"/>
              <w:jc w:val="left"/>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第二档次（6</w:t>
            </w:r>
            <w:r>
              <w:rPr>
                <w:rFonts w:ascii="Times New Roman" w:hAnsi="Times New Roman" w:eastAsia="宋体" w:cs="Times New Roman"/>
                <w:color w:val="auto"/>
                <w:szCs w:val="21"/>
                <w:highlight w:val="none"/>
              </w:rPr>
              <w:t>-</w:t>
            </w:r>
            <w:r>
              <w:rPr>
                <w:rFonts w:hint="eastAsia" w:ascii="Times New Roman" w:hAnsi="Times New Roman" w:eastAsia="宋体" w:cs="Times New Roman"/>
                <w:color w:val="auto"/>
                <w:szCs w:val="21"/>
                <w:highlight w:val="none"/>
              </w:rPr>
              <w:t>10分）：拟投入本项目的设备配置基本齐全、服务人员数量一般、人员专业素质较好、岗位职责基本齐全、清晰的；</w:t>
            </w:r>
          </w:p>
          <w:p>
            <w:pPr>
              <w:spacing w:line="276" w:lineRule="auto"/>
              <w:jc w:val="left"/>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第三档次（0</w:t>
            </w:r>
            <w:r>
              <w:rPr>
                <w:rFonts w:ascii="Times New Roman" w:hAnsi="Times New Roman" w:eastAsia="宋体" w:cs="Times New Roman"/>
                <w:color w:val="auto"/>
                <w:szCs w:val="21"/>
                <w:highlight w:val="none"/>
              </w:rPr>
              <w:t>-</w:t>
            </w:r>
            <w:r>
              <w:rPr>
                <w:rFonts w:hint="eastAsia" w:ascii="Times New Roman" w:hAnsi="Times New Roman" w:eastAsia="宋体" w:cs="Times New Roman"/>
                <w:color w:val="auto"/>
                <w:szCs w:val="21"/>
                <w:highlight w:val="none"/>
              </w:rPr>
              <w:t>5分）：拟投入本项目的设备配置不齐全、缺乏设备、服务人员数量较少、人员专业素质较差、岗位职责不齐全、不清晰的。</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094" w:hRule="atLeast"/>
          <w:jc w:val="center"/>
        </w:trPr>
        <w:tc>
          <w:tcPr>
            <w:tcW w:w="817" w:type="dxa"/>
            <w:vMerge w:val="restart"/>
            <w:tcBorders>
              <w:left w:val="single" w:color="auto" w:sz="4" w:space="0"/>
              <w:right w:val="single" w:color="auto" w:sz="6" w:space="0"/>
            </w:tcBorders>
            <w:vAlign w:val="center"/>
          </w:tcPr>
          <w:p>
            <w:pPr>
              <w:jc w:val="center"/>
              <w:rPr>
                <w:rFonts w:ascii="Times New Roman" w:hAnsi="Times New Roman" w:cs="Times New Roman"/>
                <w:color w:val="auto"/>
                <w:highlight w:val="none"/>
              </w:rPr>
            </w:pPr>
          </w:p>
          <w:p>
            <w:pPr>
              <w:jc w:val="center"/>
              <w:rPr>
                <w:rFonts w:ascii="Times New Roman" w:hAnsi="Times New Roman" w:cs="Times New Roman"/>
                <w:color w:val="auto"/>
                <w:highlight w:val="none"/>
              </w:rPr>
            </w:pPr>
          </w:p>
          <w:p>
            <w:pPr>
              <w:jc w:val="center"/>
              <w:rPr>
                <w:rFonts w:ascii="Times New Roman" w:hAnsi="Times New Roman" w:cs="Times New Roman"/>
                <w:color w:val="auto"/>
                <w:highlight w:val="none"/>
              </w:rPr>
            </w:pPr>
          </w:p>
          <w:p>
            <w:pPr>
              <w:jc w:val="center"/>
              <w:rPr>
                <w:rFonts w:ascii="Times New Roman" w:hAnsi="Times New Roman" w:cs="Times New Roman"/>
                <w:color w:val="auto"/>
                <w:highlight w:val="none"/>
              </w:rPr>
            </w:pPr>
          </w:p>
          <w:p>
            <w:pPr>
              <w:rPr>
                <w:rFonts w:ascii="Times New Roman" w:hAnsi="Times New Roman" w:cs="Times New Roman"/>
                <w:color w:val="auto"/>
                <w:highlight w:val="none"/>
              </w:rPr>
            </w:pPr>
            <w:r>
              <w:rPr>
                <w:rFonts w:ascii="Times New Roman" w:hAnsi="Times New Roman" w:cs="Times New Roman"/>
                <w:color w:val="auto"/>
                <w:highlight w:val="none"/>
              </w:rPr>
              <w:t>2.2.3</w:t>
            </w:r>
          </w:p>
          <w:p>
            <w:pPr>
              <w:widowControl/>
              <w:jc w:val="left"/>
              <w:rPr>
                <w:rFonts w:ascii="Times New Roman" w:hAnsi="Times New Roman" w:eastAsia="宋体" w:cs="Times New Roman"/>
                <w:color w:val="auto"/>
                <w:szCs w:val="21"/>
                <w:highlight w:val="none"/>
              </w:rPr>
            </w:pPr>
            <w:r>
              <w:rPr>
                <w:rFonts w:ascii="Times New Roman" w:hAnsi="Times New Roman" w:cs="Times New Roman"/>
                <w:color w:val="auto"/>
                <w:highlight w:val="none"/>
              </w:rPr>
              <w:t>（</w:t>
            </w:r>
            <w:r>
              <w:rPr>
                <w:rFonts w:hint="eastAsia" w:ascii="Times New Roman" w:hAnsi="Times New Roman" w:cs="Times New Roman"/>
                <w:color w:val="auto"/>
                <w:highlight w:val="none"/>
              </w:rPr>
              <w:t>3</w:t>
            </w:r>
            <w:r>
              <w:rPr>
                <w:rFonts w:ascii="Times New Roman" w:hAnsi="Times New Roman" w:cs="Times New Roman"/>
                <w:color w:val="auto"/>
                <w:highlight w:val="none"/>
              </w:rPr>
              <w:t>）</w:t>
            </w:r>
          </w:p>
        </w:tc>
        <w:tc>
          <w:tcPr>
            <w:tcW w:w="817" w:type="dxa"/>
            <w:vMerge w:val="restart"/>
            <w:tcBorders>
              <w:left w:val="single" w:color="auto" w:sz="6" w:space="0"/>
              <w:right w:val="single" w:color="auto" w:sz="4" w:space="0"/>
            </w:tcBorders>
            <w:vAlign w:val="center"/>
          </w:tcPr>
          <w:p>
            <w:pPr>
              <w:widowControl/>
              <w:jc w:val="left"/>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商务部分（35分）</w:t>
            </w:r>
          </w:p>
        </w:tc>
        <w:tc>
          <w:tcPr>
            <w:tcW w:w="1665"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cs="Times New Roman"/>
                <w:color w:val="auto"/>
                <w:szCs w:val="21"/>
                <w:highlight w:val="none"/>
              </w:rPr>
            </w:pPr>
            <w:r>
              <w:rPr>
                <w:rFonts w:hint="eastAsia" w:ascii="Times New Roman" w:hAnsi="Times New Roman" w:cs="Times New Roman"/>
                <w:color w:val="auto"/>
                <w:szCs w:val="21"/>
                <w:highlight w:val="none"/>
              </w:rPr>
              <w:t>服务承诺及保证措施</w:t>
            </w:r>
          </w:p>
          <w:p>
            <w:pPr>
              <w:jc w:val="center"/>
              <w:rPr>
                <w:rFonts w:ascii="Times New Roman" w:hAnsi="Times New Roman" w:cs="Times New Roman"/>
                <w:color w:val="auto"/>
                <w:szCs w:val="21"/>
                <w:highlight w:val="none"/>
              </w:rPr>
            </w:pPr>
            <w:r>
              <w:rPr>
                <w:rFonts w:ascii="Times New Roman" w:hAnsi="Times New Roman" w:cs="Times New Roman"/>
                <w:color w:val="auto"/>
                <w:szCs w:val="21"/>
                <w:highlight w:val="none"/>
              </w:rPr>
              <w:t>（满分</w:t>
            </w:r>
            <w:r>
              <w:rPr>
                <w:rFonts w:hint="eastAsia" w:ascii="Times New Roman" w:hAnsi="Times New Roman" w:cs="Times New Roman"/>
                <w:color w:val="auto"/>
                <w:szCs w:val="21"/>
                <w:highlight w:val="none"/>
              </w:rPr>
              <w:t>15</w:t>
            </w:r>
            <w:r>
              <w:rPr>
                <w:rFonts w:ascii="Times New Roman" w:hAnsi="Times New Roman" w:cs="Times New Roman"/>
                <w:color w:val="auto"/>
                <w:szCs w:val="21"/>
                <w:highlight w:val="none"/>
              </w:rPr>
              <w:t>分）</w:t>
            </w:r>
          </w:p>
        </w:tc>
        <w:tc>
          <w:tcPr>
            <w:tcW w:w="6135" w:type="dxa"/>
            <w:tcBorders>
              <w:top w:val="single" w:color="auto" w:sz="6" w:space="0"/>
              <w:left w:val="single" w:color="auto" w:sz="6" w:space="0"/>
              <w:bottom w:val="single" w:color="auto" w:sz="6" w:space="0"/>
              <w:right w:val="single" w:color="auto" w:sz="8" w:space="0"/>
            </w:tcBorders>
            <w:vAlign w:val="center"/>
          </w:tcPr>
          <w:p>
            <w:pPr>
              <w:snapToGrid w:val="0"/>
              <w:spacing w:line="276" w:lineRule="auto"/>
              <w:jc w:val="left"/>
              <w:rPr>
                <w:rFonts w:ascii="Times New Roman" w:hAnsi="Times New Roman" w:eastAsia="宋体" w:cs="Times New Roman"/>
                <w:color w:val="auto"/>
                <w:highlight w:val="none"/>
              </w:rPr>
            </w:pPr>
            <w:r>
              <w:rPr>
                <w:rFonts w:hint="eastAsia" w:ascii="Times New Roman" w:hAnsi="Times New Roman" w:eastAsia="宋体" w:cs="Times New Roman"/>
                <w:color w:val="auto"/>
                <w:szCs w:val="21"/>
                <w:highlight w:val="none"/>
              </w:rPr>
              <w:t>评标委员会成员根据投标人投标文件中提供的服务承诺及保证措施等内容进行综合评定。</w:t>
            </w:r>
          </w:p>
          <w:p>
            <w:pPr>
              <w:snapToGrid w:val="0"/>
              <w:spacing w:line="276" w:lineRule="auto"/>
              <w:jc w:val="left"/>
              <w:rPr>
                <w:rFonts w:ascii="Times New Roman" w:hAnsi="Times New Roman" w:eastAsia="宋体" w:cs="Times New Roman"/>
                <w:color w:val="auto"/>
                <w:highlight w:val="none"/>
              </w:rPr>
            </w:pPr>
            <w:r>
              <w:rPr>
                <w:rFonts w:ascii="Times New Roman" w:hAnsi="Times New Roman" w:eastAsia="宋体" w:cs="Times New Roman"/>
                <w:color w:val="auto"/>
                <w:highlight w:val="none"/>
              </w:rPr>
              <w:t>第一个档次</w:t>
            </w:r>
            <w:r>
              <w:rPr>
                <w:rFonts w:ascii="Times New Roman" w:hAnsi="Times New Roman" w:eastAsia="宋体" w:cs="Times New Roman"/>
                <w:color w:val="auto"/>
                <w:spacing w:val="-2"/>
                <w:szCs w:val="21"/>
                <w:highlight w:val="none"/>
              </w:rPr>
              <w:t>（11-15分）</w:t>
            </w:r>
            <w:r>
              <w:rPr>
                <w:rFonts w:ascii="Times New Roman" w:hAnsi="Times New Roman" w:eastAsia="宋体" w:cs="Times New Roman"/>
                <w:color w:val="auto"/>
                <w:highlight w:val="none"/>
              </w:rPr>
              <w:t>：服务承诺及保证措施内容完整、表述准确，针对性、合理性、可行性强的；</w:t>
            </w:r>
          </w:p>
          <w:p>
            <w:pPr>
              <w:snapToGrid w:val="0"/>
              <w:spacing w:line="276" w:lineRule="auto"/>
              <w:jc w:val="left"/>
              <w:rPr>
                <w:rFonts w:ascii="Times New Roman" w:hAnsi="Times New Roman" w:eastAsia="宋体" w:cs="Times New Roman"/>
                <w:color w:val="auto"/>
                <w:highlight w:val="none"/>
              </w:rPr>
            </w:pPr>
            <w:r>
              <w:rPr>
                <w:rFonts w:ascii="Times New Roman" w:hAnsi="Times New Roman" w:eastAsia="宋体" w:cs="Times New Roman"/>
                <w:color w:val="auto"/>
                <w:highlight w:val="none"/>
              </w:rPr>
              <w:t>第二个档次</w:t>
            </w:r>
            <w:r>
              <w:rPr>
                <w:rFonts w:ascii="Times New Roman" w:hAnsi="Times New Roman" w:eastAsia="宋体" w:cs="Times New Roman"/>
                <w:color w:val="auto"/>
                <w:spacing w:val="-2"/>
                <w:szCs w:val="21"/>
                <w:highlight w:val="none"/>
              </w:rPr>
              <w:t>（6-10分）</w:t>
            </w:r>
            <w:r>
              <w:rPr>
                <w:rFonts w:ascii="Times New Roman" w:hAnsi="Times New Roman" w:eastAsia="宋体" w:cs="Times New Roman"/>
                <w:color w:val="auto"/>
                <w:highlight w:val="none"/>
              </w:rPr>
              <w:t>：服务承诺及保证措施内容基本完整、表述基本准确，针对性、合理性、可行性一般的；</w:t>
            </w:r>
          </w:p>
          <w:p>
            <w:pPr>
              <w:snapToGrid w:val="0"/>
              <w:spacing w:line="276" w:lineRule="auto"/>
              <w:jc w:val="left"/>
              <w:rPr>
                <w:rFonts w:ascii="Times New Roman" w:hAnsi="Times New Roman" w:eastAsia="宋体" w:cs="Times New Roman"/>
                <w:color w:val="auto"/>
                <w:highlight w:val="none"/>
              </w:rPr>
            </w:pPr>
            <w:r>
              <w:rPr>
                <w:rFonts w:ascii="Times New Roman" w:hAnsi="Times New Roman" w:eastAsia="宋体" w:cs="Times New Roman"/>
                <w:color w:val="auto"/>
                <w:highlight w:val="none"/>
              </w:rPr>
              <w:t>第三个档次</w:t>
            </w:r>
            <w:r>
              <w:rPr>
                <w:rFonts w:ascii="Times New Roman" w:hAnsi="Times New Roman" w:eastAsia="宋体" w:cs="Times New Roman"/>
                <w:color w:val="auto"/>
                <w:spacing w:val="-2"/>
                <w:szCs w:val="21"/>
                <w:highlight w:val="none"/>
              </w:rPr>
              <w:t>（0-5分）</w:t>
            </w:r>
            <w:r>
              <w:rPr>
                <w:rFonts w:ascii="Times New Roman" w:hAnsi="Times New Roman" w:eastAsia="宋体" w:cs="Times New Roman"/>
                <w:color w:val="auto"/>
                <w:highlight w:val="none"/>
              </w:rPr>
              <w:t>：服务承诺及保证措施内容不完整、表述不准确，针对性、合理性、可行性不强的。</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094" w:hRule="atLeast"/>
          <w:jc w:val="center"/>
        </w:trPr>
        <w:tc>
          <w:tcPr>
            <w:tcW w:w="817" w:type="dxa"/>
            <w:vMerge w:val="continue"/>
            <w:tcBorders>
              <w:left w:val="single" w:color="auto" w:sz="4" w:space="0"/>
              <w:right w:val="single" w:color="auto" w:sz="6" w:space="0"/>
            </w:tcBorders>
            <w:vAlign w:val="center"/>
          </w:tcPr>
          <w:p>
            <w:pPr>
              <w:widowControl/>
              <w:jc w:val="left"/>
              <w:rPr>
                <w:rFonts w:ascii="Times New Roman" w:hAnsi="Times New Roman" w:cs="Times New Roman"/>
                <w:color w:val="auto"/>
                <w:highlight w:val="none"/>
              </w:rPr>
            </w:pPr>
          </w:p>
        </w:tc>
        <w:tc>
          <w:tcPr>
            <w:tcW w:w="817" w:type="dxa"/>
            <w:vMerge w:val="continue"/>
            <w:tcBorders>
              <w:left w:val="single" w:color="auto" w:sz="6" w:space="0"/>
              <w:right w:val="single" w:color="auto" w:sz="4" w:space="0"/>
            </w:tcBorders>
            <w:vAlign w:val="center"/>
          </w:tcPr>
          <w:p>
            <w:pPr>
              <w:widowControl/>
              <w:jc w:val="left"/>
              <w:rPr>
                <w:rFonts w:ascii="Times New Roman" w:hAnsi="Times New Roman" w:eastAsia="宋体" w:cs="Times New Roman"/>
                <w:color w:val="auto"/>
                <w:szCs w:val="21"/>
                <w:highlight w:val="none"/>
              </w:rPr>
            </w:pPr>
          </w:p>
        </w:tc>
        <w:tc>
          <w:tcPr>
            <w:tcW w:w="1665" w:type="dxa"/>
            <w:tcBorders>
              <w:top w:val="single" w:color="auto" w:sz="6" w:space="0"/>
              <w:left w:val="single" w:color="auto" w:sz="4" w:space="0"/>
              <w:bottom w:val="single" w:color="auto" w:sz="6" w:space="0"/>
              <w:right w:val="single" w:color="auto" w:sz="6" w:space="0"/>
            </w:tcBorders>
            <w:vAlign w:val="center"/>
          </w:tcPr>
          <w:p>
            <w:pPr>
              <w:spacing w:before="68" w:line="184" w:lineRule="auto"/>
              <w:jc w:val="center"/>
              <w:rPr>
                <w:rFonts w:ascii="Times New Roman" w:hAnsi="Times New Roman" w:eastAsia="宋体" w:cs="Times New Roman"/>
                <w:color w:val="auto"/>
                <w:spacing w:val="-2"/>
                <w:szCs w:val="21"/>
                <w:highlight w:val="none"/>
              </w:rPr>
            </w:pPr>
            <w:r>
              <w:rPr>
                <w:rFonts w:ascii="Times New Roman" w:hAnsi="Times New Roman" w:eastAsia="宋体" w:cs="Times New Roman"/>
                <w:color w:val="auto"/>
                <w:spacing w:val="-2"/>
                <w:szCs w:val="21"/>
                <w:highlight w:val="none"/>
              </w:rPr>
              <w:t>质量保证措施及承诺</w:t>
            </w:r>
          </w:p>
          <w:p>
            <w:pPr>
              <w:spacing w:before="68" w:line="184" w:lineRule="auto"/>
              <w:jc w:val="center"/>
              <w:rPr>
                <w:rFonts w:ascii="Times New Roman" w:hAnsi="Times New Roman" w:cs="Times New Roman"/>
                <w:color w:val="auto"/>
                <w:szCs w:val="21"/>
                <w:highlight w:val="none"/>
              </w:rPr>
            </w:pPr>
            <w:r>
              <w:rPr>
                <w:rFonts w:ascii="Times New Roman" w:hAnsi="Times New Roman" w:eastAsia="宋体" w:cs="Times New Roman"/>
                <w:color w:val="auto"/>
                <w:spacing w:val="-2"/>
                <w:szCs w:val="21"/>
                <w:highlight w:val="none"/>
              </w:rPr>
              <w:t>（满分</w:t>
            </w:r>
            <w:r>
              <w:rPr>
                <w:rFonts w:hint="eastAsia" w:ascii="Times New Roman" w:hAnsi="Times New Roman" w:eastAsia="宋体" w:cs="Times New Roman"/>
                <w:color w:val="auto"/>
                <w:spacing w:val="-9"/>
                <w:szCs w:val="21"/>
                <w:highlight w:val="none"/>
              </w:rPr>
              <w:t>10</w:t>
            </w:r>
            <w:r>
              <w:rPr>
                <w:rFonts w:ascii="Times New Roman" w:hAnsi="Times New Roman" w:eastAsia="宋体" w:cs="Times New Roman"/>
                <w:color w:val="auto"/>
                <w:spacing w:val="-9"/>
                <w:szCs w:val="21"/>
                <w:highlight w:val="none"/>
              </w:rPr>
              <w:t>分）</w:t>
            </w:r>
          </w:p>
        </w:tc>
        <w:tc>
          <w:tcPr>
            <w:tcW w:w="6135" w:type="dxa"/>
            <w:tcBorders>
              <w:top w:val="single" w:color="auto" w:sz="6" w:space="0"/>
              <w:left w:val="single" w:color="auto" w:sz="6" w:space="0"/>
              <w:bottom w:val="single" w:color="auto" w:sz="6" w:space="0"/>
              <w:right w:val="single" w:color="auto" w:sz="8" w:space="0"/>
            </w:tcBorders>
            <w:vAlign w:val="center"/>
          </w:tcPr>
          <w:p>
            <w:pPr>
              <w:spacing w:before="33"/>
              <w:ind w:right="109"/>
              <w:rPr>
                <w:rFonts w:ascii="Times New Roman" w:hAnsi="Times New Roman" w:eastAsia="宋体" w:cs="Times New Roman"/>
                <w:color w:val="auto"/>
                <w:spacing w:val="-4"/>
                <w:szCs w:val="21"/>
                <w:highlight w:val="none"/>
              </w:rPr>
            </w:pPr>
            <w:r>
              <w:rPr>
                <w:rFonts w:hint="eastAsia" w:ascii="Times New Roman" w:hAnsi="Times New Roman" w:eastAsia="宋体" w:cs="Times New Roman"/>
                <w:color w:val="auto"/>
                <w:szCs w:val="21"/>
                <w:highlight w:val="none"/>
              </w:rPr>
              <w:t>评标委员会成员根据投标人投标文件中提供的</w:t>
            </w:r>
            <w:r>
              <w:rPr>
                <w:rFonts w:ascii="Times New Roman" w:hAnsi="Times New Roman" w:eastAsia="宋体" w:cs="Times New Roman"/>
                <w:color w:val="auto"/>
                <w:spacing w:val="-2"/>
                <w:szCs w:val="21"/>
                <w:highlight w:val="none"/>
              </w:rPr>
              <w:t>质量保证措施及承诺</w:t>
            </w:r>
            <w:r>
              <w:rPr>
                <w:rFonts w:hint="eastAsia" w:ascii="Times New Roman" w:hAnsi="Times New Roman" w:eastAsia="宋体" w:cs="Times New Roman"/>
                <w:color w:val="auto"/>
                <w:szCs w:val="21"/>
                <w:highlight w:val="none"/>
              </w:rPr>
              <w:t>等内容进行综合评定。</w:t>
            </w:r>
          </w:p>
          <w:p>
            <w:pPr>
              <w:spacing w:before="33"/>
              <w:ind w:right="109"/>
              <w:rPr>
                <w:rFonts w:ascii="Times New Roman" w:hAnsi="Times New Roman" w:eastAsia="宋体" w:cs="Times New Roman"/>
                <w:color w:val="auto"/>
                <w:spacing w:val="-4"/>
                <w:szCs w:val="21"/>
                <w:highlight w:val="none"/>
              </w:rPr>
            </w:pPr>
            <w:r>
              <w:rPr>
                <w:rFonts w:ascii="Times New Roman" w:hAnsi="Times New Roman" w:eastAsia="宋体" w:cs="Times New Roman"/>
                <w:color w:val="auto"/>
                <w:spacing w:val="-4"/>
                <w:szCs w:val="21"/>
                <w:highlight w:val="none"/>
              </w:rPr>
              <w:t>第一个档次</w:t>
            </w:r>
            <w:r>
              <w:rPr>
                <w:rFonts w:ascii="Times New Roman" w:hAnsi="Times New Roman" w:eastAsia="宋体" w:cs="Times New Roman"/>
                <w:color w:val="auto"/>
                <w:spacing w:val="-2"/>
                <w:szCs w:val="21"/>
                <w:highlight w:val="none"/>
              </w:rPr>
              <w:t>（</w:t>
            </w:r>
            <w:r>
              <w:rPr>
                <w:rFonts w:hint="eastAsia" w:ascii="Times New Roman" w:hAnsi="Times New Roman" w:eastAsia="宋体" w:cs="Times New Roman"/>
                <w:color w:val="auto"/>
                <w:spacing w:val="-2"/>
                <w:szCs w:val="21"/>
                <w:highlight w:val="none"/>
              </w:rPr>
              <w:t>8</w:t>
            </w:r>
            <w:r>
              <w:rPr>
                <w:rFonts w:ascii="Times New Roman" w:hAnsi="Times New Roman" w:eastAsia="宋体" w:cs="Times New Roman"/>
                <w:color w:val="auto"/>
                <w:spacing w:val="-2"/>
                <w:szCs w:val="21"/>
                <w:highlight w:val="none"/>
              </w:rPr>
              <w:t>-</w:t>
            </w:r>
            <w:r>
              <w:rPr>
                <w:rFonts w:hint="eastAsia" w:ascii="Times New Roman" w:hAnsi="Times New Roman" w:eastAsia="宋体" w:cs="Times New Roman"/>
                <w:color w:val="auto"/>
                <w:spacing w:val="-2"/>
                <w:szCs w:val="21"/>
                <w:highlight w:val="none"/>
              </w:rPr>
              <w:t>10</w:t>
            </w:r>
            <w:r>
              <w:rPr>
                <w:rFonts w:ascii="Times New Roman" w:hAnsi="Times New Roman" w:eastAsia="宋体" w:cs="Times New Roman"/>
                <w:color w:val="auto"/>
                <w:spacing w:val="-2"/>
                <w:szCs w:val="21"/>
                <w:highlight w:val="none"/>
              </w:rPr>
              <w:t>分）</w:t>
            </w:r>
            <w:r>
              <w:rPr>
                <w:rFonts w:ascii="Times New Roman" w:hAnsi="Times New Roman" w:eastAsia="宋体" w:cs="Times New Roman"/>
                <w:color w:val="auto"/>
                <w:spacing w:val="-4"/>
                <w:szCs w:val="21"/>
                <w:highlight w:val="none"/>
              </w:rPr>
              <w:t>：质量保证措施详细，针对性强，保障措施有力，具有详细违约承诺；</w:t>
            </w:r>
          </w:p>
          <w:p>
            <w:pPr>
              <w:spacing w:before="33"/>
              <w:ind w:right="109"/>
              <w:rPr>
                <w:rFonts w:ascii="Times New Roman" w:hAnsi="Times New Roman" w:eastAsia="宋体" w:cs="Times New Roman"/>
                <w:color w:val="auto"/>
                <w:spacing w:val="-4"/>
                <w:szCs w:val="21"/>
                <w:highlight w:val="none"/>
              </w:rPr>
            </w:pPr>
            <w:r>
              <w:rPr>
                <w:rFonts w:ascii="Times New Roman" w:hAnsi="Times New Roman" w:eastAsia="宋体" w:cs="Times New Roman"/>
                <w:color w:val="auto"/>
                <w:spacing w:val="-4"/>
                <w:szCs w:val="21"/>
                <w:highlight w:val="none"/>
              </w:rPr>
              <w:t>第二个档次</w:t>
            </w:r>
            <w:r>
              <w:rPr>
                <w:rFonts w:ascii="Times New Roman" w:hAnsi="Times New Roman" w:eastAsia="宋体" w:cs="Times New Roman"/>
                <w:color w:val="auto"/>
                <w:spacing w:val="-2"/>
                <w:szCs w:val="21"/>
                <w:highlight w:val="none"/>
              </w:rPr>
              <w:t>（</w:t>
            </w:r>
            <w:r>
              <w:rPr>
                <w:rFonts w:hint="eastAsia" w:ascii="Times New Roman" w:hAnsi="Times New Roman" w:eastAsia="宋体" w:cs="Times New Roman"/>
                <w:color w:val="auto"/>
                <w:spacing w:val="-2"/>
                <w:szCs w:val="21"/>
                <w:highlight w:val="none"/>
              </w:rPr>
              <w:t>4</w:t>
            </w:r>
            <w:r>
              <w:rPr>
                <w:rFonts w:ascii="Times New Roman" w:hAnsi="Times New Roman" w:eastAsia="宋体" w:cs="Times New Roman"/>
                <w:color w:val="auto"/>
                <w:spacing w:val="-2"/>
                <w:szCs w:val="21"/>
                <w:highlight w:val="none"/>
              </w:rPr>
              <w:t>-</w:t>
            </w:r>
            <w:r>
              <w:rPr>
                <w:rFonts w:hint="eastAsia" w:ascii="Times New Roman" w:hAnsi="Times New Roman" w:eastAsia="宋体" w:cs="Times New Roman"/>
                <w:color w:val="auto"/>
                <w:spacing w:val="-2"/>
                <w:szCs w:val="21"/>
                <w:highlight w:val="none"/>
              </w:rPr>
              <w:t>7</w:t>
            </w:r>
            <w:r>
              <w:rPr>
                <w:rFonts w:ascii="Times New Roman" w:hAnsi="Times New Roman" w:eastAsia="宋体" w:cs="Times New Roman"/>
                <w:color w:val="auto"/>
                <w:spacing w:val="-2"/>
                <w:szCs w:val="21"/>
                <w:highlight w:val="none"/>
              </w:rPr>
              <w:t>分）</w:t>
            </w:r>
            <w:r>
              <w:rPr>
                <w:rFonts w:ascii="Times New Roman" w:hAnsi="Times New Roman" w:eastAsia="宋体" w:cs="Times New Roman"/>
                <w:color w:val="auto"/>
                <w:spacing w:val="-4"/>
                <w:szCs w:val="21"/>
                <w:highlight w:val="none"/>
              </w:rPr>
              <w:t>：具有质量保证措施，针对性一般，保障措施一般，具有违约承诺；</w:t>
            </w:r>
          </w:p>
          <w:p>
            <w:pPr>
              <w:spacing w:before="33"/>
              <w:ind w:right="109"/>
              <w:rPr>
                <w:rFonts w:ascii="Times New Roman" w:hAnsi="Times New Roman" w:eastAsia="宋体" w:cs="Times New Roman"/>
                <w:color w:val="auto"/>
                <w:highlight w:val="none"/>
              </w:rPr>
            </w:pPr>
            <w:r>
              <w:rPr>
                <w:rFonts w:ascii="Times New Roman" w:hAnsi="Times New Roman" w:eastAsia="宋体" w:cs="Times New Roman"/>
                <w:color w:val="auto"/>
                <w:spacing w:val="-4"/>
                <w:szCs w:val="21"/>
                <w:highlight w:val="none"/>
              </w:rPr>
              <w:t>第三个档次</w:t>
            </w:r>
            <w:r>
              <w:rPr>
                <w:rFonts w:ascii="Times New Roman" w:hAnsi="Times New Roman" w:eastAsia="宋体" w:cs="Times New Roman"/>
                <w:color w:val="auto"/>
                <w:spacing w:val="-2"/>
                <w:szCs w:val="21"/>
                <w:highlight w:val="none"/>
              </w:rPr>
              <w:t>（</w:t>
            </w:r>
            <w:r>
              <w:rPr>
                <w:rFonts w:hint="eastAsia" w:ascii="Times New Roman" w:hAnsi="Times New Roman" w:eastAsia="宋体" w:cs="Times New Roman"/>
                <w:color w:val="auto"/>
                <w:spacing w:val="-2"/>
                <w:szCs w:val="21"/>
                <w:highlight w:val="none"/>
              </w:rPr>
              <w:t>0-3</w:t>
            </w:r>
            <w:r>
              <w:rPr>
                <w:rFonts w:ascii="Times New Roman" w:hAnsi="Times New Roman" w:eastAsia="宋体" w:cs="Times New Roman"/>
                <w:color w:val="auto"/>
                <w:spacing w:val="-2"/>
                <w:szCs w:val="21"/>
                <w:highlight w:val="none"/>
              </w:rPr>
              <w:t>分）</w:t>
            </w:r>
            <w:r>
              <w:rPr>
                <w:rFonts w:ascii="Times New Roman" w:hAnsi="Times New Roman" w:eastAsia="宋体" w:cs="Times New Roman"/>
                <w:color w:val="auto"/>
                <w:spacing w:val="-4"/>
                <w:szCs w:val="21"/>
                <w:highlight w:val="none"/>
              </w:rPr>
              <w:t>：质量保证措施及承诺内容缺漏，针对性差，难以满足采购人实际需求；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094" w:hRule="atLeast"/>
          <w:jc w:val="center"/>
        </w:trPr>
        <w:tc>
          <w:tcPr>
            <w:tcW w:w="817" w:type="dxa"/>
            <w:vMerge w:val="continue"/>
            <w:tcBorders>
              <w:left w:val="single" w:color="auto" w:sz="4" w:space="0"/>
              <w:right w:val="single" w:color="auto" w:sz="6" w:space="0"/>
            </w:tcBorders>
            <w:vAlign w:val="center"/>
          </w:tcPr>
          <w:p>
            <w:pPr>
              <w:widowControl/>
              <w:jc w:val="left"/>
              <w:rPr>
                <w:rFonts w:ascii="Times New Roman" w:hAnsi="Times New Roman" w:eastAsia="宋体" w:cs="Times New Roman"/>
                <w:color w:val="auto"/>
                <w:szCs w:val="21"/>
                <w:highlight w:val="none"/>
              </w:rPr>
            </w:pPr>
          </w:p>
        </w:tc>
        <w:tc>
          <w:tcPr>
            <w:tcW w:w="817" w:type="dxa"/>
            <w:vMerge w:val="continue"/>
            <w:tcBorders>
              <w:left w:val="single" w:color="auto" w:sz="6" w:space="0"/>
              <w:right w:val="single" w:color="auto" w:sz="4" w:space="0"/>
            </w:tcBorders>
            <w:vAlign w:val="center"/>
          </w:tcPr>
          <w:p>
            <w:pPr>
              <w:widowControl/>
              <w:jc w:val="left"/>
              <w:rPr>
                <w:rFonts w:ascii="Times New Roman" w:hAnsi="Times New Roman" w:eastAsia="宋体" w:cs="Times New Roman"/>
                <w:color w:val="auto"/>
                <w:szCs w:val="21"/>
                <w:highlight w:val="none"/>
              </w:rPr>
            </w:pPr>
          </w:p>
        </w:tc>
        <w:tc>
          <w:tcPr>
            <w:tcW w:w="1665" w:type="dxa"/>
            <w:tcBorders>
              <w:top w:val="single" w:color="auto" w:sz="6" w:space="0"/>
              <w:left w:val="single" w:color="auto" w:sz="4" w:space="0"/>
              <w:bottom w:val="single" w:color="auto" w:sz="6" w:space="0"/>
              <w:right w:val="single" w:color="auto" w:sz="6" w:space="0"/>
            </w:tcBorders>
            <w:vAlign w:val="center"/>
          </w:tcPr>
          <w:p>
            <w:pPr>
              <w:jc w:val="center"/>
              <w:rPr>
                <w:rFonts w:ascii="Times New Roman" w:hAnsi="Times New Roman" w:cs="Times New Roman"/>
                <w:color w:val="auto"/>
                <w:highlight w:val="none"/>
              </w:rPr>
            </w:pPr>
            <w:r>
              <w:rPr>
                <w:rFonts w:hint="eastAsia" w:ascii="Times New Roman" w:hAnsi="Times New Roman" w:cs="Times New Roman"/>
                <w:color w:val="auto"/>
                <w:highlight w:val="none"/>
              </w:rPr>
              <w:t>业绩</w:t>
            </w:r>
          </w:p>
          <w:p>
            <w:pPr>
              <w:jc w:val="center"/>
              <w:rPr>
                <w:color w:val="auto"/>
                <w:highlight w:val="none"/>
              </w:rPr>
            </w:pPr>
            <w:r>
              <w:rPr>
                <w:rFonts w:hint="eastAsia" w:ascii="Times New Roman" w:hAnsi="Times New Roman" w:cs="Times New Roman"/>
                <w:color w:val="auto"/>
                <w:highlight w:val="none"/>
              </w:rPr>
              <w:t>（满分10分）</w:t>
            </w:r>
          </w:p>
        </w:tc>
        <w:tc>
          <w:tcPr>
            <w:tcW w:w="6135" w:type="dxa"/>
            <w:tcBorders>
              <w:top w:val="single" w:color="auto" w:sz="6" w:space="0"/>
              <w:left w:val="single" w:color="auto" w:sz="6" w:space="0"/>
              <w:bottom w:val="single" w:color="auto" w:sz="6" w:space="0"/>
              <w:right w:val="single" w:color="auto" w:sz="8" w:space="0"/>
            </w:tcBorders>
            <w:vAlign w:val="center"/>
          </w:tcPr>
          <w:p>
            <w:pPr>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1、根据投标企业类似项目业绩证明材料情况打分，提供自2019至今的类似项目业绩（附中标通知书或合同协议），每一项得2分，满分为10分。</w:t>
            </w:r>
          </w:p>
          <w:p>
            <w:pPr>
              <w:rPr>
                <w:color w:val="auto"/>
                <w:highlight w:val="none"/>
              </w:rPr>
            </w:pPr>
            <w:r>
              <w:rPr>
                <w:rFonts w:hint="eastAsia" w:ascii="Times New Roman" w:hAnsi="Times New Roman" w:eastAsia="宋体" w:cs="Times New Roman"/>
                <w:color w:val="auto"/>
                <w:szCs w:val="21"/>
                <w:highlight w:val="none"/>
              </w:rPr>
              <w:t>2、未提供不得分。</w:t>
            </w:r>
          </w:p>
        </w:tc>
      </w:tr>
      <w:bookmarkEnd w:id="223"/>
      <w:bookmarkEnd w:id="224"/>
      <w:bookmarkEnd w:id="225"/>
      <w:bookmarkEnd w:id="226"/>
    </w:tbl>
    <w:p>
      <w:pPr>
        <w:spacing w:line="360" w:lineRule="auto"/>
        <w:rPr>
          <w:rFonts w:ascii="Times New Roman" w:hAnsi="Times New Roman" w:eastAsia="宋体" w:cs="Times New Roman"/>
          <w:b/>
          <w:bCs/>
          <w:color w:val="auto"/>
          <w:sz w:val="24"/>
          <w:highlight w:val="none"/>
        </w:rPr>
      </w:pPr>
      <w:r>
        <w:rPr>
          <w:rFonts w:ascii="Times New Roman" w:hAnsi="Times New Roman" w:eastAsia="宋体" w:cs="Times New Roman"/>
          <w:b/>
          <w:bCs/>
          <w:color w:val="auto"/>
          <w:sz w:val="24"/>
          <w:highlight w:val="none"/>
        </w:rPr>
        <w:t>1. 磋商方法</w:t>
      </w:r>
    </w:p>
    <w:p>
      <w:pPr>
        <w:spacing w:line="360" w:lineRule="auto"/>
        <w:ind w:firstLine="480" w:firstLineChars="200"/>
        <w:jc w:val="left"/>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本次磋商采用综合评分法。磋商小组对通过资格审查、符合性审查的响应文件，按照本章评分标准（细则）规定的评分标准进行打分，并按得分由高到低顺序推荐成交候选人；得分相同的，按</w:t>
      </w:r>
      <w:r>
        <w:rPr>
          <w:rFonts w:hint="eastAsia" w:ascii="Times New Roman" w:hAnsi="Times New Roman" w:eastAsia="宋体" w:cs="Times New Roman"/>
          <w:color w:val="auto"/>
          <w:sz w:val="24"/>
          <w:highlight w:val="none"/>
        </w:rPr>
        <w:t>最终报价由低到高</w:t>
      </w:r>
      <w:r>
        <w:rPr>
          <w:rFonts w:ascii="Times New Roman" w:hAnsi="Times New Roman" w:eastAsia="宋体" w:cs="Times New Roman"/>
          <w:color w:val="auto"/>
          <w:sz w:val="24"/>
          <w:highlight w:val="none"/>
        </w:rPr>
        <w:t>顺序排列。得分且报价相同的，由磋商小组表决推荐成交候选人。</w:t>
      </w:r>
    </w:p>
    <w:p>
      <w:pPr>
        <w:pStyle w:val="17"/>
        <w:spacing w:line="360" w:lineRule="auto"/>
        <w:rPr>
          <w:b/>
          <w:bCs/>
          <w:color w:val="auto"/>
          <w:sz w:val="24"/>
          <w:highlight w:val="none"/>
        </w:rPr>
      </w:pPr>
      <w:r>
        <w:rPr>
          <w:b/>
          <w:bCs/>
          <w:color w:val="auto"/>
          <w:sz w:val="24"/>
          <w:highlight w:val="none"/>
        </w:rPr>
        <w:t>2．评审工作程序</w:t>
      </w:r>
    </w:p>
    <w:p>
      <w:pPr>
        <w:pStyle w:val="17"/>
        <w:spacing w:line="360" w:lineRule="auto"/>
        <w:ind w:firstLine="480" w:firstLineChars="200"/>
        <w:rPr>
          <w:color w:val="auto"/>
          <w:sz w:val="24"/>
          <w:highlight w:val="none"/>
        </w:rPr>
      </w:pPr>
      <w:r>
        <w:rPr>
          <w:color w:val="auto"/>
          <w:sz w:val="24"/>
          <w:highlight w:val="none"/>
        </w:rPr>
        <w:t>（1）供应商全权代表向磋商小组递交响应文件；</w:t>
      </w:r>
    </w:p>
    <w:p>
      <w:pPr>
        <w:pStyle w:val="17"/>
        <w:spacing w:line="360" w:lineRule="auto"/>
        <w:ind w:firstLine="480" w:firstLineChars="200"/>
        <w:rPr>
          <w:color w:val="auto"/>
          <w:sz w:val="24"/>
          <w:highlight w:val="none"/>
        </w:rPr>
      </w:pPr>
      <w:r>
        <w:rPr>
          <w:color w:val="auto"/>
          <w:sz w:val="24"/>
          <w:highlight w:val="none"/>
        </w:rPr>
        <w:t>（2）磋商小组审阅响应文件：</w:t>
      </w:r>
    </w:p>
    <w:p>
      <w:pPr>
        <w:pStyle w:val="17"/>
        <w:spacing w:line="360" w:lineRule="auto"/>
        <w:ind w:firstLine="480" w:firstLineChars="200"/>
        <w:rPr>
          <w:color w:val="auto"/>
          <w:sz w:val="24"/>
          <w:highlight w:val="none"/>
          <w:lang w:val="zh-CN"/>
        </w:rPr>
      </w:pPr>
      <w:r>
        <w:rPr>
          <w:color w:val="auto"/>
          <w:sz w:val="24"/>
          <w:highlight w:val="none"/>
          <w:lang w:val="zh-CN"/>
        </w:rPr>
        <w:t>磋商小组依据磋商文件的规定，采购对响应文件的有效性、完整性和对磋商文件的响应程度进行审查，以确定是否对磋商文件的要求做出实质性响应。未对磋商文件做实质性响应的供应商，不得进入具体磋商程序。符合性评审标准详见“磋商程序和方法前附表”</w:t>
      </w:r>
    </w:p>
    <w:p>
      <w:pPr>
        <w:pStyle w:val="17"/>
        <w:spacing w:line="360" w:lineRule="auto"/>
        <w:ind w:firstLine="480" w:firstLineChars="200"/>
        <w:rPr>
          <w:color w:val="auto"/>
          <w:sz w:val="24"/>
          <w:highlight w:val="none"/>
          <w:lang w:val="zh-CN"/>
        </w:rPr>
      </w:pPr>
      <w:r>
        <w:rPr>
          <w:color w:val="auto"/>
          <w:sz w:val="24"/>
          <w:highlight w:val="none"/>
          <w:lang w:val="zh-CN"/>
        </w:rPr>
        <w:t>在磋商文件及程序符合法律规定的前提下，递交响应文件或对磋商文件做出实质响应的供应商少于</w:t>
      </w:r>
      <w:r>
        <w:rPr>
          <w:color w:val="auto"/>
          <w:sz w:val="24"/>
          <w:highlight w:val="none"/>
        </w:rPr>
        <w:t>3家</w:t>
      </w:r>
      <w:r>
        <w:rPr>
          <w:color w:val="auto"/>
          <w:sz w:val="24"/>
          <w:highlight w:val="none"/>
          <w:lang w:val="zh-CN"/>
        </w:rPr>
        <w:t>时，根据财库[2015]124号文，可以按照公平、公正和竞争原则，继续进行磋商采购；如果少于2家，应终止磋商，重新组织采购。</w:t>
      </w:r>
    </w:p>
    <w:p>
      <w:pPr>
        <w:pStyle w:val="17"/>
        <w:spacing w:line="360" w:lineRule="auto"/>
        <w:ind w:firstLine="480" w:firstLineChars="200"/>
        <w:rPr>
          <w:color w:val="auto"/>
          <w:sz w:val="24"/>
          <w:highlight w:val="none"/>
        </w:rPr>
      </w:pPr>
      <w:r>
        <w:rPr>
          <w:color w:val="auto"/>
          <w:sz w:val="24"/>
          <w:highlight w:val="none"/>
        </w:rPr>
        <w:t>（4）磋商开始，与供应商谈各项内容：</w:t>
      </w:r>
    </w:p>
    <w:p>
      <w:pPr>
        <w:pStyle w:val="17"/>
        <w:spacing w:line="360" w:lineRule="auto"/>
        <w:ind w:firstLine="480" w:firstLineChars="200"/>
        <w:rPr>
          <w:color w:val="auto"/>
          <w:sz w:val="24"/>
          <w:highlight w:val="none"/>
          <w:lang w:val="zh-CN"/>
        </w:rPr>
      </w:pPr>
      <w:r>
        <w:rPr>
          <w:color w:val="auto"/>
          <w:sz w:val="24"/>
          <w:highlight w:val="none"/>
          <w:lang w:val="zh-CN"/>
        </w:rPr>
        <w:t>磋商小组所有成员集中与</w:t>
      </w:r>
      <w:r>
        <w:rPr>
          <w:rFonts w:hint="eastAsia"/>
          <w:color w:val="auto"/>
          <w:sz w:val="24"/>
          <w:highlight w:val="none"/>
          <w:lang w:val="zh-CN"/>
        </w:rPr>
        <w:t>申请</w:t>
      </w:r>
      <w:r>
        <w:rPr>
          <w:color w:val="auto"/>
          <w:sz w:val="24"/>
          <w:highlight w:val="none"/>
          <w:lang w:val="zh-CN"/>
        </w:rPr>
        <w:t>供应商按照</w:t>
      </w:r>
      <w:r>
        <w:rPr>
          <w:rFonts w:hint="eastAsia"/>
          <w:color w:val="auto"/>
          <w:sz w:val="24"/>
          <w:highlight w:val="none"/>
        </w:rPr>
        <w:t>一定</w:t>
      </w:r>
      <w:r>
        <w:rPr>
          <w:color w:val="auto"/>
          <w:sz w:val="24"/>
          <w:highlight w:val="none"/>
        </w:rPr>
        <w:t>的磋商次序</w:t>
      </w:r>
      <w:r>
        <w:rPr>
          <w:color w:val="auto"/>
          <w:sz w:val="24"/>
          <w:highlight w:val="none"/>
          <w:lang w:val="zh-CN"/>
        </w:rPr>
        <w:t>分别进行磋商。磋商小组可根据供应商的报价，响应内容及磋商的情况，给予每个正在参加磋商的供应商相同的机会。</w:t>
      </w:r>
    </w:p>
    <w:p>
      <w:pPr>
        <w:pStyle w:val="17"/>
        <w:spacing w:line="360" w:lineRule="auto"/>
        <w:ind w:firstLine="480" w:firstLineChars="200"/>
        <w:rPr>
          <w:color w:val="auto"/>
          <w:sz w:val="24"/>
          <w:highlight w:val="none"/>
        </w:rPr>
      </w:pPr>
      <w:r>
        <w:rPr>
          <w:color w:val="auto"/>
          <w:sz w:val="24"/>
          <w:highlight w:val="none"/>
          <w:lang w:val="zh-CN"/>
        </w:rPr>
        <w:t>①</w:t>
      </w:r>
      <w:r>
        <w:rPr>
          <w:color w:val="auto"/>
          <w:sz w:val="24"/>
          <w:highlight w:val="none"/>
        </w:rPr>
        <w:t>在磋商过程中，磋商小组可以根据磋商文件和磋商情况实质性变动采购需求中的技术、服务要求以及合同草案条款，但不得变动磋商文件中的其他内容。实质性变动的内容，须经采购人代表确认。</w:t>
      </w:r>
    </w:p>
    <w:p>
      <w:pPr>
        <w:pStyle w:val="17"/>
        <w:spacing w:line="360" w:lineRule="auto"/>
        <w:ind w:firstLine="480" w:firstLineChars="200"/>
        <w:rPr>
          <w:color w:val="auto"/>
          <w:sz w:val="24"/>
          <w:highlight w:val="none"/>
        </w:rPr>
      </w:pPr>
      <w:r>
        <w:rPr>
          <w:color w:val="auto"/>
          <w:sz w:val="24"/>
          <w:highlight w:val="none"/>
        </w:rPr>
        <w:t>②对磋商文件作出的实质性变动是磋商文件的有效组成部分，磋商小组应当及时以书面形式同时通知所有参加磋商的供应商。</w:t>
      </w:r>
    </w:p>
    <w:p>
      <w:pPr>
        <w:pStyle w:val="17"/>
        <w:spacing w:line="360" w:lineRule="auto"/>
        <w:ind w:firstLine="480" w:firstLineChars="200"/>
        <w:rPr>
          <w:color w:val="auto"/>
          <w:sz w:val="24"/>
          <w:highlight w:val="none"/>
        </w:rPr>
      </w:pPr>
      <w:r>
        <w:rPr>
          <w:color w:val="auto"/>
          <w:sz w:val="24"/>
          <w:highlight w:val="none"/>
        </w:rPr>
        <w:t>③供应商应当按照磋商文件的变动情况和磋商小组的要求重新提交响应文件，并由其全权代表签章。</w:t>
      </w:r>
    </w:p>
    <w:p>
      <w:pPr>
        <w:pStyle w:val="17"/>
        <w:spacing w:line="360" w:lineRule="auto"/>
        <w:ind w:firstLine="480" w:firstLineChars="200"/>
        <w:rPr>
          <w:color w:val="auto"/>
          <w:sz w:val="24"/>
          <w:highlight w:val="none"/>
          <w:lang w:val="zh-CN"/>
        </w:rPr>
      </w:pPr>
      <w:r>
        <w:rPr>
          <w:color w:val="auto"/>
          <w:sz w:val="24"/>
          <w:highlight w:val="none"/>
        </w:rPr>
        <w:t>（5）各供应商进行报价：</w:t>
      </w:r>
    </w:p>
    <w:p>
      <w:pPr>
        <w:pStyle w:val="17"/>
        <w:spacing w:line="360" w:lineRule="auto"/>
        <w:ind w:firstLine="480" w:firstLineChars="200"/>
        <w:rPr>
          <w:color w:val="auto"/>
          <w:sz w:val="24"/>
          <w:highlight w:val="none"/>
          <w:lang w:val="zh-CN"/>
        </w:rPr>
      </w:pPr>
      <w:r>
        <w:rPr>
          <w:color w:val="auto"/>
          <w:sz w:val="24"/>
          <w:highlight w:val="none"/>
          <w:lang w:val="zh-CN"/>
        </w:rPr>
        <w:t>磋商结束后，参加磋商的供应商应当对磋商的承诺以书面形式确认，并由全权代表签章。</w:t>
      </w:r>
    </w:p>
    <w:p>
      <w:pPr>
        <w:pStyle w:val="17"/>
        <w:spacing w:line="360" w:lineRule="auto"/>
        <w:ind w:firstLine="480" w:firstLineChars="200"/>
        <w:rPr>
          <w:color w:val="auto"/>
          <w:sz w:val="24"/>
          <w:highlight w:val="none"/>
        </w:rPr>
      </w:pPr>
      <w:r>
        <w:rPr>
          <w:color w:val="auto"/>
          <w:sz w:val="24"/>
          <w:highlight w:val="none"/>
          <w:lang w:val="zh-CN"/>
        </w:rPr>
        <w:t>（</w:t>
      </w:r>
      <w:r>
        <w:rPr>
          <w:color w:val="auto"/>
          <w:sz w:val="24"/>
          <w:highlight w:val="none"/>
        </w:rPr>
        <w:t>6</w:t>
      </w:r>
      <w:r>
        <w:rPr>
          <w:color w:val="auto"/>
          <w:sz w:val="24"/>
          <w:highlight w:val="none"/>
          <w:lang w:val="zh-CN"/>
        </w:rPr>
        <w:t>）</w:t>
      </w:r>
      <w:r>
        <w:rPr>
          <w:color w:val="auto"/>
          <w:sz w:val="24"/>
          <w:highlight w:val="none"/>
        </w:rPr>
        <w:t>由磋商小组采用综合评分法对提交最后报价的供应商的响应文件和最后报价进行综合评分。</w:t>
      </w:r>
    </w:p>
    <w:p>
      <w:pPr>
        <w:pStyle w:val="17"/>
        <w:spacing w:line="360" w:lineRule="auto"/>
        <w:ind w:firstLine="480" w:firstLineChars="200"/>
        <w:rPr>
          <w:color w:val="auto"/>
          <w:sz w:val="24"/>
          <w:highlight w:val="none"/>
          <w:lang w:val="zh-CN"/>
        </w:rPr>
      </w:pPr>
      <w:r>
        <w:rPr>
          <w:color w:val="auto"/>
          <w:sz w:val="24"/>
          <w:highlight w:val="none"/>
        </w:rPr>
        <w:t>（7）确定成交供应商。</w:t>
      </w:r>
    </w:p>
    <w:p>
      <w:pPr>
        <w:pStyle w:val="17"/>
        <w:spacing w:line="360" w:lineRule="auto"/>
        <w:rPr>
          <w:b/>
          <w:bCs/>
          <w:color w:val="auto"/>
          <w:sz w:val="24"/>
          <w:highlight w:val="none"/>
        </w:rPr>
      </w:pPr>
      <w:r>
        <w:rPr>
          <w:b/>
          <w:bCs/>
          <w:color w:val="auto"/>
          <w:sz w:val="24"/>
          <w:highlight w:val="none"/>
        </w:rPr>
        <w:t>3．磋商内容</w:t>
      </w:r>
    </w:p>
    <w:p>
      <w:pPr>
        <w:pStyle w:val="17"/>
        <w:spacing w:line="360" w:lineRule="auto"/>
        <w:ind w:firstLine="600" w:firstLineChars="250"/>
        <w:rPr>
          <w:color w:val="auto"/>
          <w:sz w:val="24"/>
          <w:highlight w:val="none"/>
        </w:rPr>
      </w:pPr>
      <w:r>
        <w:rPr>
          <w:color w:val="auto"/>
          <w:sz w:val="24"/>
          <w:highlight w:val="none"/>
        </w:rPr>
        <w:t>采购项目的服务质量、价格、其他条件等内容。</w:t>
      </w:r>
    </w:p>
    <w:p>
      <w:pPr>
        <w:pStyle w:val="17"/>
        <w:spacing w:line="360" w:lineRule="auto"/>
        <w:rPr>
          <w:b/>
          <w:bCs/>
          <w:color w:val="auto"/>
          <w:sz w:val="24"/>
          <w:highlight w:val="none"/>
        </w:rPr>
      </w:pPr>
      <w:r>
        <w:rPr>
          <w:b/>
          <w:bCs/>
          <w:color w:val="auto"/>
          <w:sz w:val="24"/>
          <w:highlight w:val="none"/>
        </w:rPr>
        <w:t>4.评审原则与评审方法</w:t>
      </w:r>
    </w:p>
    <w:p>
      <w:pPr>
        <w:pStyle w:val="17"/>
        <w:spacing w:line="360" w:lineRule="auto"/>
        <w:ind w:firstLine="480" w:firstLineChars="200"/>
        <w:rPr>
          <w:bCs/>
          <w:color w:val="auto"/>
          <w:sz w:val="24"/>
          <w:highlight w:val="none"/>
        </w:rPr>
      </w:pPr>
      <w:r>
        <w:rPr>
          <w:bCs/>
          <w:color w:val="auto"/>
          <w:sz w:val="24"/>
          <w:highlight w:val="none"/>
        </w:rPr>
        <w:t>4.1评审原则</w:t>
      </w:r>
    </w:p>
    <w:p>
      <w:pPr>
        <w:pStyle w:val="17"/>
        <w:spacing w:line="360" w:lineRule="auto"/>
        <w:ind w:firstLine="480" w:firstLineChars="200"/>
        <w:rPr>
          <w:bCs/>
          <w:color w:val="auto"/>
          <w:sz w:val="24"/>
          <w:highlight w:val="none"/>
        </w:rPr>
      </w:pPr>
      <w:r>
        <w:rPr>
          <w:bCs/>
          <w:color w:val="auto"/>
          <w:sz w:val="24"/>
          <w:highlight w:val="none"/>
        </w:rPr>
        <w:t>（1）本次磋商遵循公开透明、公平竞争、公正和诚实信用的原则。磋商小组成员按照客观、公正、审慎的原则，根据磋商文件规定的评审程序、评审方法和评审标准进行独立评审。未实质性响应磋商文件的响应文件按无效响应处理，并告知提交响应文件的供应商。</w:t>
      </w:r>
    </w:p>
    <w:p>
      <w:pPr>
        <w:pStyle w:val="17"/>
        <w:spacing w:line="360" w:lineRule="auto"/>
        <w:ind w:firstLine="480" w:firstLineChars="200"/>
        <w:rPr>
          <w:bCs/>
          <w:color w:val="auto"/>
          <w:sz w:val="24"/>
          <w:highlight w:val="none"/>
          <w:lang w:val="zh-CN"/>
        </w:rPr>
      </w:pPr>
      <w:r>
        <w:rPr>
          <w:bCs/>
          <w:color w:val="auto"/>
          <w:sz w:val="24"/>
          <w:highlight w:val="none"/>
          <w:lang w:val="zh-CN"/>
        </w:rPr>
        <w:t>（2）磋商小组应当根据综合评分情况，按照评审得分由高到低顺序推荐至少3名成交候选供应商，并编写评审报告。评审得分相同的，按照最后报价由低到高的顺序推荐。评审得分且最后报价相同的，</w:t>
      </w:r>
      <w:r>
        <w:rPr>
          <w:bCs/>
          <w:color w:val="auto"/>
          <w:sz w:val="24"/>
          <w:highlight w:val="none"/>
        </w:rPr>
        <w:t>依次按就近采购本地或本省服务优先，排列各供应商的次序</w:t>
      </w:r>
      <w:r>
        <w:rPr>
          <w:bCs/>
          <w:color w:val="auto"/>
          <w:sz w:val="24"/>
          <w:highlight w:val="none"/>
          <w:lang w:val="zh-CN"/>
        </w:rPr>
        <w:t>。</w:t>
      </w:r>
    </w:p>
    <w:p>
      <w:pPr>
        <w:pStyle w:val="17"/>
        <w:spacing w:line="360" w:lineRule="auto"/>
        <w:ind w:firstLine="480" w:firstLineChars="200"/>
        <w:rPr>
          <w:bCs/>
          <w:color w:val="auto"/>
          <w:sz w:val="24"/>
          <w:highlight w:val="none"/>
          <w:lang w:val="zh-CN"/>
        </w:rPr>
      </w:pPr>
      <w:r>
        <w:rPr>
          <w:bCs/>
          <w:color w:val="auto"/>
          <w:sz w:val="24"/>
          <w:highlight w:val="none"/>
          <w:lang w:val="zh-CN"/>
        </w:rPr>
        <w:t>（3）评审报告应当由磋商小组全体人员签字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字又不书面说明其不同意见和理由的，视为同意评审报告。</w:t>
      </w:r>
    </w:p>
    <w:p>
      <w:pPr>
        <w:pStyle w:val="17"/>
        <w:spacing w:line="360" w:lineRule="auto"/>
        <w:ind w:firstLine="480" w:firstLineChars="200"/>
        <w:rPr>
          <w:color w:val="auto"/>
          <w:sz w:val="24"/>
          <w:highlight w:val="none"/>
          <w:lang w:val="zh-CN"/>
        </w:rPr>
      </w:pPr>
      <w:r>
        <w:rPr>
          <w:color w:val="auto"/>
          <w:sz w:val="24"/>
          <w:highlight w:val="none"/>
          <w:lang w:val="zh-CN"/>
        </w:rPr>
        <w:t>（4）磋商小组认为供应商的报价明显低于其他通过符合性审查供应商的报价，有可能影响产品质量或者不能诚信履约的，应当要求其在评标现场合理的时间内提供书面说明，必要时提交相关证明材料；供应商不能证明其报价合理性的，磋商小组应当将其作为无效</w:t>
      </w:r>
      <w:r>
        <w:rPr>
          <w:color w:val="auto"/>
          <w:sz w:val="24"/>
          <w:highlight w:val="none"/>
        </w:rPr>
        <w:t>磋商</w:t>
      </w:r>
      <w:r>
        <w:rPr>
          <w:color w:val="auto"/>
          <w:sz w:val="24"/>
          <w:highlight w:val="none"/>
          <w:lang w:val="zh-CN"/>
        </w:rPr>
        <w:t>处理。</w:t>
      </w:r>
    </w:p>
    <w:p>
      <w:pPr>
        <w:snapToGrid w:val="0"/>
        <w:spacing w:line="360" w:lineRule="auto"/>
        <w:ind w:firstLine="480" w:firstLineChars="200"/>
        <w:rPr>
          <w:rFonts w:ascii="Times New Roman" w:hAnsi="Times New Roman" w:eastAsia="宋体" w:cs="Times New Roman"/>
          <w:b/>
          <w:bCs/>
          <w:color w:val="auto"/>
          <w:sz w:val="24"/>
          <w:highlight w:val="none"/>
        </w:rPr>
      </w:pPr>
      <w:r>
        <w:rPr>
          <w:rFonts w:ascii="Times New Roman" w:hAnsi="Times New Roman" w:eastAsia="宋体" w:cs="Times New Roman"/>
          <w:color w:val="auto"/>
          <w:sz w:val="24"/>
          <w:highlight w:val="none"/>
        </w:rPr>
        <w:t>4</w:t>
      </w:r>
      <w:r>
        <w:rPr>
          <w:rFonts w:hint="eastAsia" w:ascii="Times New Roman" w:hAnsi="Times New Roman" w:eastAsia="宋体" w:cs="Times New Roman"/>
          <w:color w:val="auto"/>
          <w:sz w:val="24"/>
          <w:highlight w:val="none"/>
        </w:rPr>
        <w:t>.</w:t>
      </w:r>
      <w:r>
        <w:rPr>
          <w:rFonts w:ascii="Times New Roman" w:hAnsi="Times New Roman" w:eastAsia="宋体" w:cs="Times New Roman"/>
          <w:color w:val="auto"/>
          <w:sz w:val="24"/>
          <w:highlight w:val="none"/>
        </w:rPr>
        <w:t>2评审标准</w:t>
      </w:r>
    </w:p>
    <w:p>
      <w:pPr>
        <w:snapToGrid w:val="0"/>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根据《中华人民共和国政府采购法》、《中华人民共和国政府采购法实施条例》、《政府采购竞争性磋商采购方式管理暂行办法》及省、市有关规定，磋商小组成员按照客观、公正、谨慎的原则，根据磋商文件规定的评审程序、评审方法和评审标准进行独立评审。根据排名先后确定成交候选供应商。</w:t>
      </w:r>
    </w:p>
    <w:p>
      <w:pPr>
        <w:pStyle w:val="17"/>
        <w:spacing w:line="360" w:lineRule="auto"/>
        <w:rPr>
          <w:b/>
          <w:bCs/>
          <w:color w:val="auto"/>
          <w:sz w:val="24"/>
          <w:highlight w:val="none"/>
          <w:lang w:val="zh-CN"/>
        </w:rPr>
      </w:pPr>
      <w:r>
        <w:rPr>
          <w:b/>
          <w:bCs/>
          <w:color w:val="auto"/>
          <w:sz w:val="24"/>
          <w:highlight w:val="none"/>
        </w:rPr>
        <w:t>5．</w:t>
      </w:r>
      <w:r>
        <w:rPr>
          <w:b/>
          <w:bCs/>
          <w:color w:val="auto"/>
          <w:sz w:val="24"/>
          <w:highlight w:val="none"/>
          <w:lang w:val="zh-CN"/>
        </w:rPr>
        <w:t>磋商小组</w:t>
      </w:r>
    </w:p>
    <w:p>
      <w:pPr>
        <w:pStyle w:val="17"/>
        <w:spacing w:line="360" w:lineRule="auto"/>
        <w:ind w:firstLine="480" w:firstLineChars="200"/>
        <w:rPr>
          <w:color w:val="auto"/>
          <w:sz w:val="24"/>
          <w:highlight w:val="none"/>
          <w:lang w:val="zh-CN"/>
        </w:rPr>
      </w:pPr>
      <w:r>
        <w:rPr>
          <w:color w:val="auto"/>
          <w:sz w:val="24"/>
          <w:highlight w:val="none"/>
          <w:lang w:val="zh-CN"/>
        </w:rPr>
        <w:t>磋商小组由采购人代表和评审专家共同组成，采购人代表不得担任评审委员会主要负责人。</w:t>
      </w:r>
    </w:p>
    <w:p>
      <w:pPr>
        <w:pStyle w:val="17"/>
        <w:spacing w:line="360" w:lineRule="auto"/>
        <w:rPr>
          <w:b/>
          <w:bCs/>
          <w:color w:val="auto"/>
          <w:sz w:val="24"/>
          <w:highlight w:val="none"/>
          <w:lang w:val="zh-CN"/>
        </w:rPr>
      </w:pPr>
      <w:r>
        <w:rPr>
          <w:b/>
          <w:bCs/>
          <w:color w:val="auto"/>
          <w:sz w:val="24"/>
          <w:highlight w:val="none"/>
        </w:rPr>
        <w:t>6．</w:t>
      </w:r>
      <w:r>
        <w:rPr>
          <w:b/>
          <w:bCs/>
          <w:color w:val="auto"/>
          <w:sz w:val="24"/>
          <w:highlight w:val="none"/>
          <w:lang w:val="zh-CN"/>
        </w:rPr>
        <w:t>磋商评审纪律</w:t>
      </w:r>
    </w:p>
    <w:p>
      <w:pPr>
        <w:pStyle w:val="17"/>
        <w:spacing w:line="360" w:lineRule="auto"/>
        <w:ind w:firstLine="480" w:firstLineChars="200"/>
        <w:rPr>
          <w:color w:val="auto"/>
          <w:sz w:val="24"/>
          <w:highlight w:val="none"/>
          <w:lang w:val="zh-CN"/>
        </w:rPr>
      </w:pPr>
      <w:r>
        <w:rPr>
          <w:rFonts w:hint="eastAsia"/>
          <w:color w:val="auto"/>
          <w:sz w:val="24"/>
          <w:highlight w:val="none"/>
        </w:rPr>
        <w:t>（1）</w:t>
      </w:r>
      <w:r>
        <w:rPr>
          <w:color w:val="auto"/>
          <w:sz w:val="24"/>
          <w:highlight w:val="none"/>
        </w:rPr>
        <w:t>磋商小组成员</w:t>
      </w:r>
      <w:r>
        <w:rPr>
          <w:color w:val="auto"/>
          <w:sz w:val="24"/>
          <w:highlight w:val="none"/>
          <w:lang w:val="zh-CN"/>
        </w:rPr>
        <w:t>内部讨论的情况和意见必须保密，任何人不得以任何形式透露给供应商或与供应商有关的单位或个人；</w:t>
      </w:r>
    </w:p>
    <w:p>
      <w:pPr>
        <w:pStyle w:val="17"/>
        <w:spacing w:line="360" w:lineRule="auto"/>
        <w:ind w:firstLine="480" w:firstLineChars="200"/>
        <w:rPr>
          <w:color w:val="auto"/>
          <w:sz w:val="24"/>
          <w:highlight w:val="none"/>
          <w:lang w:val="zh-CN"/>
        </w:rPr>
      </w:pPr>
      <w:r>
        <w:rPr>
          <w:rFonts w:hint="eastAsia"/>
          <w:color w:val="auto"/>
          <w:sz w:val="24"/>
          <w:highlight w:val="none"/>
        </w:rPr>
        <w:t>（2）</w:t>
      </w:r>
      <w:r>
        <w:rPr>
          <w:color w:val="auto"/>
          <w:sz w:val="24"/>
          <w:highlight w:val="none"/>
          <w:lang w:val="zh-CN"/>
        </w:rPr>
        <w:t>在磋商过程中，供应商不得以任何形式对磋商小组成员进行旨在影响磋商结果的私下接触，否则取消其磋商资格；</w:t>
      </w:r>
    </w:p>
    <w:p>
      <w:pPr>
        <w:pStyle w:val="17"/>
        <w:spacing w:line="360" w:lineRule="auto"/>
        <w:ind w:firstLine="480" w:firstLineChars="200"/>
        <w:rPr>
          <w:color w:val="auto"/>
          <w:sz w:val="24"/>
          <w:highlight w:val="none"/>
          <w:lang w:val="zh-CN"/>
        </w:rPr>
      </w:pPr>
      <w:r>
        <w:rPr>
          <w:rFonts w:hint="eastAsia"/>
          <w:color w:val="auto"/>
          <w:sz w:val="24"/>
          <w:highlight w:val="none"/>
        </w:rPr>
        <w:t>（3）</w:t>
      </w:r>
      <w:r>
        <w:rPr>
          <w:color w:val="auto"/>
          <w:sz w:val="24"/>
          <w:highlight w:val="none"/>
          <w:lang w:val="zh-CN"/>
        </w:rPr>
        <w:t>磋商小组采用以及与磋商有关的人员应当对评审情况和评审过程中获悉的国家秘密、商业秘密予以保密。</w:t>
      </w:r>
    </w:p>
    <w:p>
      <w:pPr>
        <w:pStyle w:val="17"/>
        <w:spacing w:line="360" w:lineRule="auto"/>
        <w:rPr>
          <w:b/>
          <w:bCs/>
          <w:color w:val="auto"/>
          <w:sz w:val="24"/>
          <w:highlight w:val="none"/>
        </w:rPr>
      </w:pPr>
      <w:r>
        <w:rPr>
          <w:b/>
          <w:bCs/>
          <w:color w:val="auto"/>
          <w:sz w:val="24"/>
          <w:highlight w:val="none"/>
        </w:rPr>
        <w:t>7．无效报价情况说明</w:t>
      </w:r>
    </w:p>
    <w:p>
      <w:pPr>
        <w:tabs>
          <w:tab w:val="center" w:pos="5181"/>
        </w:tabs>
        <w:adjustRightInd w:val="0"/>
        <w:snapToGrid w:val="0"/>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响应文件有下列情形之一的，应当按照无效响应文件处理：</w:t>
      </w:r>
    </w:p>
    <w:p>
      <w:pPr>
        <w:tabs>
          <w:tab w:val="center" w:pos="5181"/>
        </w:tabs>
        <w:adjustRightInd w:val="0"/>
        <w:snapToGrid w:val="0"/>
        <w:spacing w:line="360" w:lineRule="auto"/>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（1）</w:t>
      </w:r>
      <w:r>
        <w:rPr>
          <w:rFonts w:ascii="Times New Roman" w:hAnsi="Times New Roman" w:eastAsia="宋体" w:cs="Times New Roman"/>
          <w:color w:val="auto"/>
          <w:sz w:val="24"/>
          <w:highlight w:val="none"/>
        </w:rPr>
        <w:t>在规定的截止时间之后递交竞争性磋商文件的；</w:t>
      </w:r>
    </w:p>
    <w:p>
      <w:pPr>
        <w:tabs>
          <w:tab w:val="center" w:pos="5181"/>
        </w:tabs>
        <w:adjustRightInd w:val="0"/>
        <w:snapToGrid w:val="0"/>
        <w:spacing w:line="360" w:lineRule="auto"/>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（2）</w:t>
      </w:r>
      <w:r>
        <w:rPr>
          <w:rFonts w:ascii="Times New Roman" w:hAnsi="Times New Roman" w:eastAsia="宋体" w:cs="Times New Roman"/>
          <w:color w:val="auto"/>
          <w:sz w:val="24"/>
          <w:highlight w:val="none"/>
        </w:rPr>
        <w:t>未按采购文件规定要求密封、签署、盖章的；</w:t>
      </w:r>
    </w:p>
    <w:p>
      <w:pPr>
        <w:tabs>
          <w:tab w:val="center" w:pos="5181"/>
        </w:tabs>
        <w:adjustRightInd w:val="0"/>
        <w:snapToGrid w:val="0"/>
        <w:spacing w:line="360" w:lineRule="auto"/>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（3）</w:t>
      </w:r>
      <w:r>
        <w:rPr>
          <w:rFonts w:ascii="Times New Roman" w:hAnsi="Times New Roman" w:eastAsia="宋体" w:cs="Times New Roman"/>
          <w:color w:val="auto"/>
          <w:sz w:val="24"/>
          <w:highlight w:val="none"/>
        </w:rPr>
        <w:t>未按规定交纳</w:t>
      </w:r>
      <w:r>
        <w:rPr>
          <w:rFonts w:hint="eastAsia" w:ascii="Times New Roman" w:hAnsi="Times New Roman" w:eastAsia="宋体" w:cs="Times New Roman"/>
          <w:color w:val="auto"/>
          <w:sz w:val="24"/>
          <w:highlight w:val="none"/>
        </w:rPr>
        <w:t>磋商</w:t>
      </w:r>
      <w:r>
        <w:rPr>
          <w:rFonts w:ascii="Times New Roman" w:hAnsi="Times New Roman" w:eastAsia="宋体" w:cs="Times New Roman"/>
          <w:color w:val="auto"/>
          <w:sz w:val="24"/>
          <w:highlight w:val="none"/>
        </w:rPr>
        <w:t>保证金的；</w:t>
      </w:r>
    </w:p>
    <w:p>
      <w:pPr>
        <w:tabs>
          <w:tab w:val="center" w:pos="5181"/>
        </w:tabs>
        <w:adjustRightInd w:val="0"/>
        <w:snapToGrid w:val="0"/>
        <w:spacing w:line="360" w:lineRule="auto"/>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（4）</w:t>
      </w:r>
      <w:r>
        <w:rPr>
          <w:rFonts w:ascii="Times New Roman" w:hAnsi="Times New Roman" w:eastAsia="宋体" w:cs="Times New Roman"/>
          <w:color w:val="auto"/>
          <w:sz w:val="24"/>
          <w:highlight w:val="none"/>
        </w:rPr>
        <w:t>不具备采购文件中规定的资格要求的；</w:t>
      </w:r>
    </w:p>
    <w:p>
      <w:pPr>
        <w:tabs>
          <w:tab w:val="center" w:pos="5181"/>
        </w:tabs>
        <w:adjustRightInd w:val="0"/>
        <w:snapToGrid w:val="0"/>
        <w:spacing w:line="360" w:lineRule="auto"/>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（5）</w:t>
      </w:r>
      <w:r>
        <w:rPr>
          <w:rFonts w:ascii="Times New Roman" w:hAnsi="Times New Roman" w:eastAsia="宋体" w:cs="Times New Roman"/>
          <w:color w:val="auto"/>
          <w:sz w:val="24"/>
          <w:highlight w:val="none"/>
        </w:rPr>
        <w:t>报价超过采购预算的；</w:t>
      </w:r>
    </w:p>
    <w:p>
      <w:pPr>
        <w:tabs>
          <w:tab w:val="center" w:pos="5181"/>
        </w:tabs>
        <w:adjustRightInd w:val="0"/>
        <w:snapToGrid w:val="0"/>
        <w:spacing w:line="360" w:lineRule="auto"/>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（6）</w:t>
      </w:r>
      <w:r>
        <w:rPr>
          <w:rFonts w:ascii="Times New Roman" w:hAnsi="Times New Roman" w:eastAsia="宋体" w:cs="Times New Roman"/>
          <w:color w:val="auto"/>
          <w:sz w:val="24"/>
          <w:highlight w:val="none"/>
        </w:rPr>
        <w:t>未全部响应采购文件规定的实质性要求的；</w:t>
      </w:r>
    </w:p>
    <w:p>
      <w:pPr>
        <w:adjustRightInd w:val="0"/>
        <w:spacing w:line="360" w:lineRule="auto"/>
        <w:ind w:firstLine="480" w:firstLineChars="200"/>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（7）</w:t>
      </w:r>
      <w:r>
        <w:rPr>
          <w:rFonts w:ascii="Times New Roman" w:hAnsi="Times New Roman" w:eastAsia="宋体" w:cs="Times New Roman"/>
          <w:color w:val="auto"/>
          <w:sz w:val="24"/>
          <w:highlight w:val="none"/>
        </w:rPr>
        <w:t>不符合法律、法规规定的其他情形。</w:t>
      </w:r>
    </w:p>
    <w:p>
      <w:pPr>
        <w:adjustRightInd w:val="0"/>
        <w:spacing w:line="360" w:lineRule="auto"/>
        <w:rPr>
          <w:rFonts w:ascii="Times New Roman" w:hAnsi="Times New Roman" w:eastAsia="宋体" w:cs="Times New Roman"/>
          <w:b/>
          <w:bCs/>
          <w:color w:val="auto"/>
          <w:sz w:val="24"/>
          <w:highlight w:val="none"/>
        </w:rPr>
      </w:pPr>
      <w:r>
        <w:rPr>
          <w:rFonts w:ascii="Times New Roman" w:hAnsi="Times New Roman" w:eastAsia="宋体" w:cs="Times New Roman"/>
          <w:b/>
          <w:bCs/>
          <w:color w:val="auto"/>
          <w:sz w:val="24"/>
          <w:highlight w:val="none"/>
        </w:rPr>
        <w:t>8．磋商响应文件如果出现计算或表达上的错误，修正错误的原则如下：</w:t>
      </w:r>
    </w:p>
    <w:p>
      <w:pPr>
        <w:tabs>
          <w:tab w:val="center" w:pos="5181"/>
        </w:tabs>
        <w:adjustRightInd w:val="0"/>
        <w:snapToGrid w:val="0"/>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（1）公布第一次报价时，响应文件中报价一览表内容与响应文件中明细表内容不一致的，以报价一览表为准。</w:t>
      </w:r>
    </w:p>
    <w:p>
      <w:pPr>
        <w:tabs>
          <w:tab w:val="center" w:pos="5181"/>
        </w:tabs>
        <w:adjustRightInd w:val="0"/>
        <w:snapToGrid w:val="0"/>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（2）响应文件的大写金额和小写金额不一致的，以大写金额为准；</w:t>
      </w:r>
    </w:p>
    <w:p>
      <w:pPr>
        <w:tabs>
          <w:tab w:val="center" w:pos="5181"/>
        </w:tabs>
        <w:adjustRightInd w:val="0"/>
        <w:snapToGrid w:val="0"/>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（3）总价金额与按单价汇总金额不一致的，以单价金额计算结果为准；</w:t>
      </w:r>
    </w:p>
    <w:p>
      <w:pPr>
        <w:tabs>
          <w:tab w:val="center" w:pos="5181"/>
        </w:tabs>
        <w:adjustRightInd w:val="0"/>
        <w:snapToGrid w:val="0"/>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（4）单价金额小数点有明显错位的，应以总价为准，并修改单价；</w:t>
      </w:r>
    </w:p>
    <w:p>
      <w:pPr>
        <w:tabs>
          <w:tab w:val="center" w:pos="5181"/>
        </w:tabs>
        <w:adjustRightInd w:val="0"/>
        <w:snapToGrid w:val="0"/>
        <w:spacing w:line="360" w:lineRule="auto"/>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（5）对不同文字文本响应文件的解释发生异议的，以中文文本为准。</w:t>
      </w:r>
    </w:p>
    <w:p>
      <w:pPr>
        <w:spacing w:line="460" w:lineRule="exact"/>
        <w:ind w:firstLine="480" w:firstLineChars="2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（6）按上述修正错误的原则及方法调整或修正响应文件的报价，供应商同意后，调整后的报价对供应商起约束作用。如果供应商不接受修正后的报价，视为未实质性响应竞争性磋商文件要求。</w:t>
      </w:r>
      <w:bookmarkStart w:id="227" w:name="_第八章_政府采购供应商质疑函范本"/>
      <w:bookmarkStart w:id="228" w:name="_Toc59718140"/>
      <w:bookmarkStart w:id="229" w:name="_Toc60996703"/>
      <w:bookmarkStart w:id="230" w:name="_Toc26723_WPSOffice_Level2"/>
      <w:bookmarkStart w:id="231" w:name="_Toc9761_WPSOffice_Level1"/>
      <w:bookmarkStart w:id="232" w:name="_Toc57104298"/>
    </w:p>
    <w:p>
      <w:pPr>
        <w:pStyle w:val="28"/>
        <w:rPr>
          <w:rFonts w:ascii="Times New Roman" w:eastAsia="宋体" w:cs="Times New Roman"/>
          <w:color w:val="auto"/>
          <w:highlight w:val="none"/>
        </w:rPr>
      </w:pPr>
    </w:p>
    <w:p>
      <w:pPr>
        <w:pStyle w:val="28"/>
        <w:rPr>
          <w:rFonts w:ascii="Times New Roman" w:eastAsia="宋体" w:cs="Times New Roman"/>
          <w:color w:val="auto"/>
          <w:highlight w:val="none"/>
        </w:rPr>
      </w:pPr>
    </w:p>
    <w:p>
      <w:pPr>
        <w:pStyle w:val="9"/>
        <w:ind w:left="1470" w:right="1470"/>
        <w:rPr>
          <w:rFonts w:ascii="宋体" w:hAnsi="宋体" w:eastAsia="宋体" w:cs="宋体"/>
          <w:b/>
          <w:bCs/>
          <w:color w:val="auto"/>
          <w:kern w:val="44"/>
          <w:sz w:val="32"/>
          <w:szCs w:val="32"/>
          <w:highlight w:val="none"/>
        </w:rPr>
        <w:sectPr>
          <w:pgSz w:w="11906" w:h="16838"/>
          <w:pgMar w:top="1440" w:right="1800" w:bottom="1440" w:left="1800" w:header="851" w:footer="992" w:gutter="0"/>
          <w:cols w:space="425" w:num="1"/>
          <w:docGrid w:type="lines" w:linePitch="312" w:charSpace="0"/>
        </w:sectPr>
      </w:pPr>
    </w:p>
    <w:p>
      <w:pPr>
        <w:autoSpaceDE w:val="0"/>
        <w:autoSpaceDN w:val="0"/>
        <w:adjustRightInd w:val="0"/>
        <w:rPr>
          <w:rFonts w:ascii="宋体" w:hAnsi="宋体" w:eastAsia="宋体" w:cs="宋体"/>
          <w:b/>
          <w:color w:val="auto"/>
          <w:sz w:val="24"/>
          <w:highlight w:val="none"/>
        </w:rPr>
      </w:pPr>
      <w:r>
        <w:rPr>
          <w:rFonts w:hint="eastAsia" w:ascii="宋体" w:hAnsi="宋体" w:eastAsia="宋体" w:cs="宋体"/>
          <w:b/>
          <w:color w:val="auto"/>
          <w:sz w:val="24"/>
          <w:highlight w:val="none"/>
        </w:rPr>
        <w:t>注：此表不需装入申请文件中，请自备1-2份签字、盖章后带到现场备用。</w:t>
      </w:r>
    </w:p>
    <w:p>
      <w:pPr>
        <w:pStyle w:val="9"/>
        <w:ind w:left="0" w:leftChars="0" w:right="1470"/>
        <w:jc w:val="center"/>
        <w:rPr>
          <w:b/>
          <w:bCs/>
          <w:color w:val="auto"/>
          <w:sz w:val="32"/>
          <w:szCs w:val="32"/>
          <w:highlight w:val="none"/>
        </w:rPr>
      </w:pPr>
      <w:bookmarkStart w:id="233" w:name="_Toc69989552"/>
      <w:r>
        <w:rPr>
          <w:rFonts w:hint="eastAsia"/>
          <w:b/>
          <w:bCs/>
          <w:color w:val="auto"/>
          <w:sz w:val="32"/>
          <w:szCs w:val="32"/>
          <w:highlight w:val="none"/>
        </w:rPr>
        <w:t xml:space="preserve">         </w:t>
      </w:r>
    </w:p>
    <w:p>
      <w:pPr>
        <w:pStyle w:val="9"/>
        <w:ind w:left="0" w:leftChars="0" w:right="1470"/>
        <w:jc w:val="center"/>
        <w:rPr>
          <w:rFonts w:ascii="宋体" w:hAnsi="宋体" w:eastAsia="宋体" w:cs="宋体"/>
          <w:b/>
          <w:bCs/>
          <w:color w:val="auto"/>
          <w:kern w:val="44"/>
          <w:sz w:val="32"/>
          <w:szCs w:val="32"/>
          <w:highlight w:val="none"/>
        </w:rPr>
      </w:pPr>
      <w:r>
        <w:rPr>
          <w:rFonts w:hint="eastAsia"/>
          <w:b/>
          <w:bCs/>
          <w:color w:val="auto"/>
          <w:sz w:val="32"/>
          <w:szCs w:val="32"/>
          <w:highlight w:val="none"/>
        </w:rPr>
        <w:t>二次报价表（最终报价）</w:t>
      </w:r>
      <w:bookmarkEnd w:id="233"/>
    </w:p>
    <w:bookmarkEnd w:id="227"/>
    <w:bookmarkEnd w:id="228"/>
    <w:bookmarkEnd w:id="229"/>
    <w:bookmarkEnd w:id="230"/>
    <w:bookmarkEnd w:id="231"/>
    <w:bookmarkEnd w:id="232"/>
    <w:p>
      <w:pPr>
        <w:ind w:firstLine="720" w:firstLineChars="3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项目名称：</w:t>
      </w:r>
    </w:p>
    <w:p>
      <w:pPr>
        <w:ind w:firstLine="720" w:firstLineChars="300"/>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项目编号：</w:t>
      </w:r>
    </w:p>
    <w:tbl>
      <w:tblPr>
        <w:tblStyle w:val="22"/>
        <w:tblW w:w="89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4"/>
        <w:gridCol w:w="6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2" w:hRule="atLeast"/>
          <w:jc w:val="center"/>
        </w:trPr>
        <w:tc>
          <w:tcPr>
            <w:tcW w:w="2414" w:type="dxa"/>
            <w:vAlign w:val="center"/>
          </w:tcPr>
          <w:p>
            <w:pPr>
              <w:jc w:val="center"/>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磋商报价</w:t>
            </w:r>
          </w:p>
        </w:tc>
        <w:tc>
          <w:tcPr>
            <w:tcW w:w="6551" w:type="dxa"/>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人民币</w:t>
            </w:r>
            <w:r>
              <w:rPr>
                <w:rFonts w:hint="eastAsia" w:ascii="Times New Roman" w:hAnsi="Times New Roman" w:eastAsia="宋体" w:cs="Times New Roman"/>
                <w:color w:val="auto"/>
                <w:sz w:val="24"/>
                <w:highlight w:val="none"/>
                <w:u w:val="single"/>
              </w:rPr>
              <w:t xml:space="preserve">             </w:t>
            </w:r>
            <w:r>
              <w:rPr>
                <w:rFonts w:hint="eastAsia" w:ascii="Times New Roman" w:hAnsi="Times New Roman" w:eastAsia="宋体" w:cs="Times New Roman"/>
                <w:color w:val="auto"/>
                <w:sz w:val="24"/>
                <w:highlight w:val="none"/>
              </w:rPr>
              <w:t>元（小写）</w:t>
            </w:r>
          </w:p>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人民币</w:t>
            </w:r>
            <w:r>
              <w:rPr>
                <w:rFonts w:hint="eastAsia" w:ascii="Times New Roman" w:hAnsi="Times New Roman" w:eastAsia="宋体" w:cs="Times New Roman"/>
                <w:color w:val="auto"/>
                <w:sz w:val="24"/>
                <w:highlight w:val="none"/>
                <w:u w:val="single"/>
              </w:rPr>
              <w:t xml:space="preserve">             </w:t>
            </w:r>
            <w:r>
              <w:rPr>
                <w:rFonts w:hint="eastAsia" w:ascii="Times New Roman" w:hAnsi="Times New Roman" w:eastAsia="宋体" w:cs="Times New Roman"/>
                <w:color w:val="auto"/>
                <w:sz w:val="24"/>
                <w:highlight w:val="none"/>
              </w:rPr>
              <w:t>元（大写）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2414" w:type="dxa"/>
            <w:vAlign w:val="center"/>
          </w:tcPr>
          <w:p>
            <w:pPr>
              <w:jc w:val="center"/>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项目负责人</w:t>
            </w:r>
          </w:p>
        </w:tc>
        <w:tc>
          <w:tcPr>
            <w:tcW w:w="6551" w:type="dxa"/>
            <w:vAlign w:val="center"/>
          </w:tcPr>
          <w:p>
            <w:pPr>
              <w:spacing w:line="360" w:lineRule="auto"/>
              <w:jc w:val="center"/>
              <w:rPr>
                <w:rFonts w:ascii="Times New Roman" w:hAnsi="Times New Roman" w:eastAsia="宋体"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2414" w:type="dxa"/>
            <w:vAlign w:val="center"/>
          </w:tcPr>
          <w:p>
            <w:pPr>
              <w:jc w:val="center"/>
              <w:rPr>
                <w:rFonts w:ascii="Times New Roman" w:hAnsi="Times New Roman" w:eastAsia="宋体" w:cs="Times New Roman"/>
                <w:color w:val="auto"/>
                <w:sz w:val="24"/>
                <w:highlight w:val="none"/>
              </w:rPr>
            </w:pPr>
            <w:r>
              <w:rPr>
                <w:rFonts w:hint="eastAsia" w:ascii="Times New Roman" w:hAnsi="Times New Roman" w:eastAsia="宋体" w:cs="Times New Roman"/>
                <w:color w:val="auto"/>
                <w:sz w:val="24"/>
                <w:highlight w:val="none"/>
              </w:rPr>
              <w:t>服务质量承诺</w:t>
            </w:r>
          </w:p>
        </w:tc>
        <w:tc>
          <w:tcPr>
            <w:tcW w:w="6551" w:type="dxa"/>
            <w:vAlign w:val="center"/>
          </w:tcPr>
          <w:p>
            <w:pPr>
              <w:spacing w:line="360" w:lineRule="auto"/>
              <w:jc w:val="center"/>
              <w:rPr>
                <w:rFonts w:ascii="Times New Roman" w:hAnsi="Times New Roman" w:eastAsia="宋体"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9" w:hRule="atLeast"/>
          <w:jc w:val="center"/>
        </w:trPr>
        <w:tc>
          <w:tcPr>
            <w:tcW w:w="2414" w:type="dxa"/>
            <w:vAlign w:val="center"/>
          </w:tcPr>
          <w:p>
            <w:pPr>
              <w:ind w:firstLine="2" w:firstLineChars="1"/>
              <w:jc w:val="center"/>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磋商保证金金额</w:t>
            </w:r>
          </w:p>
        </w:tc>
        <w:tc>
          <w:tcPr>
            <w:tcW w:w="6551" w:type="dxa"/>
            <w:vAlign w:val="center"/>
          </w:tcPr>
          <w:p>
            <w:pPr>
              <w:spacing w:line="360" w:lineRule="auto"/>
              <w:ind w:firstLine="1200" w:firstLineChars="500"/>
              <w:jc w:val="center"/>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3" w:hRule="atLeast"/>
          <w:jc w:val="center"/>
        </w:trPr>
        <w:tc>
          <w:tcPr>
            <w:tcW w:w="2414" w:type="dxa"/>
            <w:tcBorders>
              <w:bottom w:val="single" w:color="auto" w:sz="4" w:space="0"/>
            </w:tcBorders>
            <w:vAlign w:val="center"/>
          </w:tcPr>
          <w:p>
            <w:pPr>
              <w:jc w:val="center"/>
              <w:rPr>
                <w:rFonts w:ascii="Times New Roman" w:hAnsi="Times New Roman" w:eastAsia="宋体" w:cs="Times New Roman"/>
                <w:color w:val="auto"/>
                <w:sz w:val="24"/>
                <w:highlight w:val="none"/>
              </w:rPr>
            </w:pPr>
            <w:r>
              <w:rPr>
                <w:rFonts w:ascii="Times New Roman" w:hAnsi="Times New Roman" w:eastAsia="宋体" w:cs="Times New Roman"/>
                <w:color w:val="auto"/>
                <w:sz w:val="24"/>
                <w:highlight w:val="none"/>
              </w:rPr>
              <w:t>备注</w:t>
            </w:r>
          </w:p>
        </w:tc>
        <w:tc>
          <w:tcPr>
            <w:tcW w:w="6551" w:type="dxa"/>
            <w:tcBorders>
              <w:bottom w:val="single" w:color="auto" w:sz="4" w:space="0"/>
            </w:tcBorders>
            <w:vAlign w:val="center"/>
          </w:tcPr>
          <w:p>
            <w:pPr>
              <w:spacing w:line="360" w:lineRule="auto"/>
              <w:jc w:val="left"/>
              <w:rPr>
                <w:rFonts w:ascii="Times New Roman" w:hAnsi="Times New Roman" w:eastAsia="宋体" w:cs="Times New Roman"/>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49" w:hRule="atLeast"/>
          <w:jc w:val="center"/>
        </w:trPr>
        <w:tc>
          <w:tcPr>
            <w:tcW w:w="8965" w:type="dxa"/>
            <w:gridSpan w:val="2"/>
            <w:tcBorders>
              <w:top w:val="single" w:color="auto" w:sz="4" w:space="0"/>
              <w:left w:val="nil"/>
              <w:bottom w:val="nil"/>
              <w:right w:val="nil"/>
            </w:tcBorders>
            <w:vAlign w:val="center"/>
          </w:tcPr>
          <w:p>
            <w:pPr>
              <w:rPr>
                <w:rFonts w:ascii="Times New Roman" w:hAnsi="Times New Roman" w:eastAsia="宋体" w:cs="Times New Roman"/>
                <w:color w:val="auto"/>
                <w:szCs w:val="21"/>
                <w:highlight w:val="none"/>
              </w:rPr>
            </w:pPr>
          </w:p>
          <w:p>
            <w:pPr>
              <w:ind w:firstLine="420"/>
              <w:rPr>
                <w:rFonts w:ascii="Times New Roman" w:hAnsi="Times New Roman" w:eastAsia="宋体" w:cs="Times New Roman"/>
                <w:color w:val="auto"/>
                <w:szCs w:val="20"/>
                <w:highlight w:val="none"/>
              </w:rPr>
            </w:pPr>
          </w:p>
          <w:p>
            <w:pPr>
              <w:spacing w:line="480" w:lineRule="auto"/>
              <w:ind w:firstLine="2" w:firstLineChars="1"/>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供 应 商</w:t>
            </w:r>
            <w:r>
              <w:rPr>
                <w:rFonts w:ascii="Times New Roman" w:hAnsi="Times New Roman" w:eastAsia="宋体" w:cs="Times New Roman"/>
                <w:color w:val="auto"/>
                <w:szCs w:val="21"/>
                <w:highlight w:val="none"/>
              </w:rPr>
              <w:t>：（盖单位公章）</w:t>
            </w:r>
          </w:p>
          <w:p>
            <w:pPr>
              <w:spacing w:line="480" w:lineRule="auto"/>
              <w:ind w:firstLine="2" w:firstLineChars="1"/>
              <w:rPr>
                <w:rFonts w:ascii="Times New Roman" w:hAnsi="Times New Roman" w:eastAsia="宋体" w:cs="Times New Roman"/>
                <w:color w:val="auto"/>
                <w:szCs w:val="21"/>
                <w:highlight w:val="none"/>
              </w:rPr>
            </w:pPr>
            <w:r>
              <w:rPr>
                <w:rFonts w:ascii="Times New Roman" w:hAnsi="Times New Roman" w:eastAsia="宋体" w:cs="Times New Roman"/>
                <w:color w:val="auto"/>
                <w:szCs w:val="21"/>
                <w:highlight w:val="none"/>
              </w:rPr>
              <w:t>法定代表人（负责人）或其委托代理人：（签字或盖章）</w:t>
            </w:r>
          </w:p>
          <w:p>
            <w:pPr>
              <w:spacing w:line="480" w:lineRule="auto"/>
              <w:rPr>
                <w:rFonts w:ascii="Times New Roman" w:hAnsi="Times New Roman" w:eastAsia="宋体" w:cs="Times New Roman"/>
                <w:color w:val="auto"/>
                <w:szCs w:val="21"/>
                <w:highlight w:val="none"/>
              </w:rPr>
            </w:pPr>
            <w:r>
              <w:rPr>
                <w:rFonts w:hint="eastAsia" w:ascii="Times New Roman" w:hAnsi="Times New Roman" w:eastAsia="宋体" w:cs="Times New Roman"/>
                <w:color w:val="auto"/>
                <w:szCs w:val="21"/>
                <w:highlight w:val="none"/>
              </w:rPr>
              <w:t xml:space="preserve">日期：    </w:t>
            </w:r>
            <w:r>
              <w:rPr>
                <w:rFonts w:ascii="Times New Roman" w:hAnsi="Times New Roman" w:eastAsia="宋体" w:cs="Times New Roman"/>
                <w:color w:val="auto"/>
                <w:szCs w:val="21"/>
                <w:highlight w:val="none"/>
              </w:rPr>
              <w:t>年</w:t>
            </w:r>
            <w:r>
              <w:rPr>
                <w:rFonts w:hint="eastAsia" w:ascii="Times New Roman" w:hAnsi="Times New Roman" w:eastAsia="宋体" w:cs="Times New Roman"/>
                <w:color w:val="auto"/>
                <w:szCs w:val="21"/>
                <w:highlight w:val="none"/>
              </w:rPr>
              <w:t xml:space="preserve">   </w:t>
            </w:r>
            <w:r>
              <w:rPr>
                <w:rFonts w:ascii="Times New Roman" w:hAnsi="Times New Roman" w:eastAsia="宋体" w:cs="Times New Roman"/>
                <w:color w:val="auto"/>
                <w:szCs w:val="21"/>
                <w:highlight w:val="none"/>
              </w:rPr>
              <w:t>月</w:t>
            </w:r>
            <w:r>
              <w:rPr>
                <w:rFonts w:hint="eastAsia" w:ascii="Times New Roman" w:hAnsi="Times New Roman" w:eastAsia="宋体" w:cs="Times New Roman"/>
                <w:color w:val="auto"/>
                <w:szCs w:val="21"/>
                <w:highlight w:val="none"/>
              </w:rPr>
              <w:t xml:space="preserve">     </w:t>
            </w:r>
            <w:r>
              <w:rPr>
                <w:rFonts w:ascii="Times New Roman" w:hAnsi="Times New Roman" w:eastAsia="宋体" w:cs="Times New Roman"/>
                <w:color w:val="auto"/>
                <w:szCs w:val="21"/>
                <w:highlight w:val="none"/>
              </w:rPr>
              <w:t>日</w:t>
            </w:r>
          </w:p>
        </w:tc>
      </w:tr>
    </w:tbl>
    <w:p>
      <w:pPr>
        <w:pStyle w:val="2"/>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roman"/>
    <w:pitch w:val="default"/>
    <w:sig w:usb0="FFFFFFFF" w:usb1="E9FFFFFF" w:usb2="0000003F" w:usb3="00000000" w:csb0="603F01FF" w:csb1="FFFF0000"/>
  </w:font>
  <w:font w:name="微软雅黑">
    <w:panose1 w:val="020B0503020204020204"/>
    <w:charset w:val="86"/>
    <w:family w:val="swiss"/>
    <w:pitch w:val="default"/>
    <w:sig w:usb0="80000287" w:usb1="2ACF3C50" w:usb2="00000016" w:usb3="00000000" w:csb0="0004001F" w:csb1="00000000"/>
  </w:font>
  <w:font w:name="宋体-18030">
    <w:altName w:val="宋体"/>
    <w:panose1 w:val="00000000000000000000"/>
    <w:charset w:val="86"/>
    <w:family w:val="modern"/>
    <w:pitch w:val="default"/>
    <w:sig w:usb0="00000000" w:usb1="00000000" w:usb2="000A005E" w:usb3="00000000" w:csb0="0004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pict>
        <v:shape id="_x0000_s1031" o:spid="_x0000_s1031"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E2Xt0c0BAACnAwAADgAAAAAAAAABACAAAAAeAQAAZHJzL2Uy&#10;b0RvYy54bWxQSwUGAAAAAAYABgBZAQAAXQUAAAAA&#10;">
          <v:path/>
          <v:fill on="f" focussize="0,0"/>
          <v:stroke on="f" joinstyle="miter"/>
          <v:imagedata o:title=""/>
          <o:lock v:ext="edit"/>
          <v:textbox inset="0mm,0mm,0mm,0mm" style="mso-fit-shape-to-text:t;">
            <w:txbxContent>
              <w:p>
                <w:pPr>
                  <w:tabs>
                    <w:tab w:val="center" w:pos="4153"/>
                    <w:tab w:val="right" w:pos="8306"/>
                  </w:tabs>
                  <w:snapToGrid w:val="0"/>
                  <w:jc w:val="center"/>
                  <w:rPr>
                    <w:rFonts w:ascii="Times New Roman" w:hAnsi="Times New Roman" w:eastAsia="宋体" w:cs="Times New Roman"/>
                    <w:sz w:val="18"/>
                    <w:szCs w:val="18"/>
                  </w:rPr>
                </w:pPr>
                <w:r>
                  <w:rPr>
                    <w:rFonts w:ascii="Times New Roman" w:hAnsi="Times New Roman" w:eastAsia="宋体" w:cs="Times New Roman"/>
                    <w:sz w:val="18"/>
                    <w:szCs w:val="18"/>
                  </w:rPr>
                  <w:fldChar w:fldCharType="begin"/>
                </w:r>
                <w:r>
                  <w:rPr>
                    <w:rFonts w:ascii="Times New Roman" w:hAnsi="Times New Roman" w:eastAsia="宋体" w:cs="Times New Roman"/>
                    <w:sz w:val="18"/>
                    <w:szCs w:val="18"/>
                  </w:rPr>
                  <w:instrText xml:space="preserve"> PAGE   \* MERGEFORMAT </w:instrText>
                </w:r>
                <w:r>
                  <w:rPr>
                    <w:rFonts w:ascii="Times New Roman" w:hAnsi="Times New Roman" w:eastAsia="宋体" w:cs="Times New Roman"/>
                    <w:sz w:val="18"/>
                    <w:szCs w:val="18"/>
                  </w:rPr>
                  <w:fldChar w:fldCharType="separate"/>
                </w:r>
                <w:r>
                  <w:rPr>
                    <w:rFonts w:ascii="Times New Roman" w:hAnsi="Times New Roman" w:eastAsia="宋体" w:cs="Times New Roman"/>
                    <w:sz w:val="18"/>
                    <w:szCs w:val="18"/>
                    <w:lang w:val="zh-CN"/>
                  </w:rPr>
                  <w:t>2</w:t>
                </w:r>
                <w:r>
                  <w:rPr>
                    <w:rFonts w:ascii="Times New Roman" w:hAnsi="Times New Roman" w:eastAsia="宋体" w:cs="Times New Roman"/>
                    <w:sz w:val="18"/>
                    <w:szCs w:val="18"/>
                    <w:lang w:val="zh-CN"/>
                  </w:rPr>
                  <w:fldChar w:fldCharType="end"/>
                </w:r>
              </w:p>
            </w:txbxContent>
          </v:textbox>
        </v:shape>
      </w:pict>
    </w:r>
  </w:p>
  <w:p>
    <w:pPr>
      <w:tabs>
        <w:tab w:val="center" w:pos="4497"/>
      </w:tabs>
      <w:snapToGrid w:val="0"/>
      <w:ind w:right="360"/>
      <w:rPr>
        <w:rFonts w:ascii="Times New Roman" w:hAnsi="Times New Roman" w:eastAsia="宋体"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tabs>
        <w:tab w:val="center" w:pos="4153"/>
        <w:tab w:val="right" w:pos="8306"/>
      </w:tabs>
      <w:snapToGrid w:val="0"/>
      <w:jc w:val="left"/>
      <w:rPr>
        <w:rFonts w:ascii="Times New Roman" w:hAnsi="Times New Roman" w:eastAsia="宋体" w:cs="Times New Roman"/>
        <w:sz w:val="18"/>
        <w:szCs w:val="18"/>
      </w:rPr>
    </w:pPr>
    <w:r>
      <w:rPr>
        <w:rFonts w:ascii="Times New Roman" w:hAnsi="Times New Roman" w:eastAsia="宋体" w:cs="Times New Roman"/>
        <w:sz w:val="18"/>
        <w:szCs w:val="18"/>
      </w:rPr>
      <w:fldChar w:fldCharType="begin"/>
    </w:r>
    <w:r>
      <w:rPr>
        <w:rFonts w:ascii="仿宋_GB2312" w:hAnsi="Times New Roman" w:eastAsia="仿宋_GB2312" w:cs="仿宋_GB2312"/>
        <w:b/>
        <w:sz w:val="32"/>
        <w:szCs w:val="32"/>
      </w:rPr>
      <w:instrText xml:space="preserve">PAGE  </w:instrText>
    </w:r>
    <w:r>
      <w:rPr>
        <w:rFonts w:ascii="Times New Roman" w:hAnsi="Times New Roman" w:eastAsia="宋体" w:cs="Times New Roman"/>
        <w:sz w:val="18"/>
        <w:szCs w:val="18"/>
      </w:rPr>
      <w:fldChar w:fldCharType="separate"/>
    </w:r>
    <w:r>
      <w:rPr>
        <w:rFonts w:ascii="仿宋_GB2312" w:hAnsi="Times New Roman" w:eastAsia="仿宋_GB2312" w:cs="仿宋_GB2312"/>
        <w:b/>
        <w:sz w:val="32"/>
        <w:szCs w:val="32"/>
      </w:rPr>
      <w:t>1</w:t>
    </w:r>
    <w:r>
      <w:rPr>
        <w:rFonts w:ascii="Times New Roman" w:hAnsi="Times New Roman" w:eastAsia="宋体" w:cs="Times New Roman"/>
        <w:sz w:val="18"/>
        <w:szCs w:val="18"/>
      </w:rPr>
      <w:fldChar w:fldCharType="end"/>
    </w:r>
  </w:p>
  <w:p>
    <w:pPr>
      <w:tabs>
        <w:tab w:val="center" w:pos="4153"/>
        <w:tab w:val="right" w:pos="8306"/>
      </w:tabs>
      <w:snapToGrid w:val="0"/>
      <w:ind w:right="360"/>
      <w:jc w:val="left"/>
      <w:rPr>
        <w:rFonts w:ascii="Times New Roman" w:hAnsi="Times New Roman" w:eastAsia="宋体" w:cs="Times New Roman"/>
        <w:szCs w:val="18"/>
      </w:rPr>
    </w:pPr>
    <w:r>
      <w:rPr>
        <w:rFonts w:ascii="Times New Roman" w:hAnsi="Times New Roman" w:eastAsia="宋体" w:cs="Times New Roman"/>
        <w:sz w:val="18"/>
        <w:szCs w:val="18"/>
      </w:rPr>
      <w:pict>
        <v:shape id="文本框 1026" o:spid="_x0000_s1030" o:spt="202" type="#_x0000_t202" style="position:absolute;left:0pt;margin-top:0pt;height:11.65pt;width:4.5pt;mso-position-horizontal:center;mso-position-horizontal-relative:margin;mso-wrap-distance-bottom:0pt;mso-wrap-distance-left:0pt;mso-wrap-distance-right:0pt;mso-wrap-distance-top:0pt;mso-wrap-style:none;z-index:251660288;mso-width-relative:page;mso-height-relative:page;" filled="f" stroked="f" coordsize="21600,21600" o:gfxdata="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KbQkGzQAAAAAgEAAA8AAAAAAAAAAQAgAAAAIgAAAGRy&#10;cy9kb3ducmV2LnhtbFBLAQIUABQAAAAIAIdO4kA9ICVg1AEAAKcDAAAOAAAAAAAAAAEAIAAAAB8B&#10;AABkcnMvZTJvRG9jLnhtbFBLBQYAAAAABgAGAFkBAABlBQAAAAA=&#10;">
          <v:path/>
          <v:fill on="f" focussize="0,0"/>
          <v:stroke on="f" joinstyle="miter"/>
          <v:imagedata o:title=""/>
          <o:lock v:ext="edit"/>
          <v:textbox inset="0mm,0mm,0mm,0mm" style="mso-fit-shape-to-text:t;">
            <w:txbxContent>
              <w:p>
                <w:pPr>
                  <w:tabs>
                    <w:tab w:val="center" w:pos="4153"/>
                    <w:tab w:val="right" w:pos="8306"/>
                  </w:tabs>
                  <w:snapToGrid w:val="0"/>
                  <w:jc w:val="left"/>
                  <w:rPr>
                    <w:rFonts w:ascii="Times New Roman" w:hAnsi="Times New Roman" w:eastAsia="宋体" w:cs="Times New Roman"/>
                    <w:sz w:val="18"/>
                    <w:szCs w:val="18"/>
                  </w:rPr>
                </w:pPr>
                <w:r>
                  <w:rPr>
                    <w:rFonts w:ascii="Times New Roman" w:hAnsi="Times New Roman" w:eastAsia="宋体" w:cs="Times New Roman"/>
                    <w:sz w:val="18"/>
                    <w:szCs w:val="18"/>
                  </w:rPr>
                  <w:fldChar w:fldCharType="begin"/>
                </w:r>
                <w:r>
                  <w:rPr>
                    <w:rFonts w:ascii="仿宋_GB2312" w:hAnsi="Times New Roman" w:eastAsia="仿宋_GB2312" w:cs="仿宋_GB2312"/>
                    <w:b/>
                    <w:sz w:val="32"/>
                    <w:szCs w:val="32"/>
                  </w:rPr>
                  <w:instrText xml:space="preserve">PAGE  </w:instrText>
                </w:r>
                <w:r>
                  <w:rPr>
                    <w:rFonts w:ascii="Times New Roman" w:hAnsi="Times New Roman" w:eastAsia="宋体" w:cs="Times New Roman"/>
                    <w:sz w:val="18"/>
                    <w:szCs w:val="18"/>
                  </w:rPr>
                  <w:fldChar w:fldCharType="separate"/>
                </w:r>
                <w:r>
                  <w:rPr>
                    <w:rFonts w:ascii="仿宋_GB2312" w:hAnsi="Times New Roman" w:eastAsia="仿宋_GB2312" w:cs="仿宋_GB2312"/>
                    <w:b/>
                    <w:sz w:val="32"/>
                    <w:szCs w:val="32"/>
                  </w:rPr>
                  <w:t>1</w:t>
                </w:r>
                <w:r>
                  <w:rPr>
                    <w:rFonts w:ascii="Times New Roman" w:hAnsi="Times New Roman" w:eastAsia="宋体" w:cs="Times New Roman"/>
                    <w:sz w:val="18"/>
                    <w:szCs w:val="18"/>
                  </w:rPr>
                  <w:fldChar w:fldCharType="end"/>
                </w:r>
              </w:p>
            </w:txbxContent>
          </v:textbox>
          <w10:wrap type="square"/>
        </v:shape>
      </w:pict>
    </w:r>
    <w:r>
      <w:rPr>
        <w:rFonts w:ascii="Times New Roman" w:hAnsi="Times New Roman" w:eastAsia="宋体" w:cs="Times New Roman"/>
        <w:sz w:val="18"/>
        <w:szCs w:val="18"/>
      </w:rPr>
      <w:pict>
        <v:shape id="文本框 1027" o:spid="_x0000_s1029" o:spt="202" type="#_x0000_t202" style="position:absolute;left:0pt;margin-top:0pt;height:13.6pt;width:10.5pt;mso-position-horizontal:center;mso-position-horizontal-relative:margin;mso-wrap-distance-bottom:0pt;mso-wrap-distance-left:0pt;mso-wrap-distance-right:0pt;mso-wrap-distance-top:0pt;mso-wrap-style:none;z-index:251661312;mso-width-relative:page;mso-height-relative:page;" filled="f" stroked="f" coordsize="21600,21600" o:gfxdata="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&#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KrLlHPAAAAAwEAAA8AAAAAAAAAAQAgAAAAIgAAAGRy&#10;cy9kb3ducmV2LnhtbFBLAQIUABQAAAAIAIdO4kDp/zYM1QEAAKgDAAAOAAAAAAAAAAEAIAAAAB4B&#10;AABkcnMvZTJvRG9jLnhtbFBLBQYAAAAABgAGAFkBAABlBQAAAAA=&#10;">
          <v:path/>
          <v:fill on="f" focussize="0,0"/>
          <v:stroke on="f" joinstyle="miter"/>
          <v:imagedata o:title=""/>
          <o:lock v:ext="edit"/>
          <v:textbox inset="0mm,0mm,0mm,0mm" style="mso-fit-shape-to-text:t;">
            <w:txbxContent>
              <w:p>
                <w:pPr>
                  <w:tabs>
                    <w:tab w:val="center" w:pos="4153"/>
                    <w:tab w:val="right" w:pos="8306"/>
                  </w:tabs>
                  <w:snapToGrid w:val="0"/>
                  <w:jc w:val="left"/>
                  <w:rPr>
                    <w:rFonts w:ascii="Times New Roman" w:hAnsi="Times New Roman" w:eastAsia="宋体" w:cs="Times New Roman"/>
                    <w:szCs w:val="18"/>
                  </w:rPr>
                </w:pPr>
                <w:r>
                  <w:rPr>
                    <w:rFonts w:ascii="Times New Roman" w:hAnsi="Times New Roman" w:eastAsia="宋体" w:cs="Times New Roman"/>
                    <w:szCs w:val="18"/>
                  </w:rPr>
                  <w:fldChar w:fldCharType="begin"/>
                </w:r>
                <w:r>
                  <w:rPr>
                    <w:rFonts w:ascii="仿宋_GB2312" w:hAnsi="Times New Roman" w:eastAsia="仿宋_GB2312" w:cs="仿宋_GB2312"/>
                    <w:b/>
                    <w:szCs w:val="32"/>
                  </w:rPr>
                  <w:instrText xml:space="preserve">PAGE  </w:instrText>
                </w:r>
                <w:r>
                  <w:rPr>
                    <w:rFonts w:ascii="Times New Roman" w:hAnsi="Times New Roman" w:eastAsia="宋体" w:cs="Times New Roman"/>
                    <w:szCs w:val="18"/>
                  </w:rPr>
                  <w:fldChar w:fldCharType="separate"/>
                </w:r>
                <w:r>
                  <w:rPr>
                    <w:rFonts w:ascii="仿宋_GB2312" w:hAnsi="Times New Roman" w:eastAsia="仿宋_GB2312" w:cs="仿宋_GB2312"/>
                    <w:b/>
                    <w:szCs w:val="32"/>
                  </w:rPr>
                  <w:t>1</w:t>
                </w:r>
                <w:r>
                  <w:rPr>
                    <w:rFonts w:ascii="Times New Roman" w:hAnsi="Times New Roman" w:eastAsia="宋体" w:cs="Times New Roman"/>
                    <w:szCs w:val="18"/>
                  </w:rPr>
                  <w:fldChar w:fldCharType="end"/>
                </w:r>
              </w:p>
            </w:txbxContent>
          </v:textbox>
          <w10:wrap type="squar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pict>
        <v:shape id="_x0000_s1026" o:spid="_x0000_s1026" o:spt="202" type="#_x0000_t202" style="position:absolute;left:0pt;margin-top:0pt;height:11pt;width:4.6pt;mso-position-horizontal:center;mso-position-horizontal-relative:margin;mso-wrap-style:none;z-index:251664384;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72xka9EAAAACAQAADwAAAAAAAAABACAAAAAiAAAAZHJzL2Rvd25yZXYueG1sUEsB&#10;AhQAFAAAAAgAh07iQDeV+K41AgAAYAQAAA4AAAAAAAAAAQAgAAAAIAEAAGRycy9lMm9Eb2MueG1s&#10;UEsFBgAAAAAGAAYAWQEAAMcFAAAAAA==&#10;">
          <v:path/>
          <v:fill on="f" focussize="0,0"/>
          <v:stroke on="f" weight="0.5pt" joinstyle="miter"/>
          <v:imagedata o:title=""/>
          <o:lock v:ext="edit"/>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ind w:right="360"/>
      <w:jc w:val="center"/>
      <w:rPr>
        <w:rFonts w:ascii="Times New Roman" w:hAnsi="Times New Roman" w:eastAsia="宋体" w:cs="Times New Roman"/>
        <w:sz w:val="18"/>
        <w:szCs w:val="18"/>
      </w:rPr>
    </w:pPr>
    <w:r>
      <w:rPr>
        <w:rFonts w:ascii="Times New Roman" w:hAnsi="Times New Roman" w:eastAsia="宋体" w:cs="Times New Roman"/>
        <w:sz w:val="18"/>
        <w:szCs w:val="18"/>
      </w:rPr>
      <w:pict>
        <v:shape id="文本框 8" o:spid="_x0000_s1028" o:spt="202" type="#_x0000_t202" style="position:absolute;left:0pt;margin-top:0pt;height:10.35pt;width:27.05pt;mso-position-horizontal:center;mso-position-horizontal-relative:margin;mso-wrap-style:none;z-index:251662336;mso-width-relative:page;mso-height-relative:page;" filled="f" stroked="f" coordsize="21600,21600" o:gfxdata="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Om2gV0QAAAAMBAAAPAAAAAAAAAAEAIAAAACIAAABk&#10;cnMvZG93bnJldi54bWxQSwECFAAUAAAACACHTuJAg1HeSNQBAAClAwAADgAAAAAAAAABACAAAAAg&#10;AQAAZHJzL2Uyb0RvYy54bWxQSwUGAAAAAAYABgBZAQAAZgUAAAAA&#10;">
          <v:path/>
          <v:fill on="f" focussize="0,0"/>
          <v:stroke on="f" joinstyle="miter"/>
          <v:imagedata o:title=""/>
          <o:lock v:ext="edit"/>
          <v:textbox inset="0mm,0mm,0mm,0mm" style="mso-fit-shape-to-text:t;">
            <w:txbxContent>
              <w:p>
                <w:pPr>
                  <w:tabs>
                    <w:tab w:val="center" w:pos="4153"/>
                    <w:tab w:val="right" w:pos="8306"/>
                  </w:tabs>
                  <w:snapToGrid w:val="0"/>
                  <w:ind w:right="360"/>
                  <w:jc w:val="center"/>
                  <w:rPr>
                    <w:rFonts w:ascii="Times New Roman" w:hAnsi="Times New Roman" w:eastAsia="宋体" w:cs="Times New Roman"/>
                    <w:sz w:val="18"/>
                    <w:szCs w:val="18"/>
                  </w:rPr>
                </w:pPr>
                <w:r>
                  <w:rPr>
                    <w:rFonts w:ascii="Times New Roman" w:hAnsi="Times New Roman" w:eastAsia="宋体" w:cs="Times New Roman"/>
                    <w:sz w:val="18"/>
                    <w:szCs w:val="18"/>
                  </w:rPr>
                  <w:fldChar w:fldCharType="begin"/>
                </w:r>
                <w:r>
                  <w:rPr>
                    <w:rFonts w:ascii="Times New Roman" w:hAnsi="Times New Roman" w:eastAsia="宋体" w:cs="Times New Roman"/>
                    <w:b/>
                    <w:sz w:val="18"/>
                    <w:szCs w:val="18"/>
                  </w:rPr>
                  <w:instrText xml:space="preserve"> PAGE  \* Arabic  \* MERGEFORMAT </w:instrText>
                </w:r>
                <w:r>
                  <w:rPr>
                    <w:rFonts w:ascii="Times New Roman" w:hAnsi="Times New Roman" w:eastAsia="宋体" w:cs="Times New Roman"/>
                    <w:sz w:val="18"/>
                    <w:szCs w:val="18"/>
                  </w:rPr>
                  <w:fldChar w:fldCharType="separate"/>
                </w:r>
                <w:r>
                  <w:rPr>
                    <w:rFonts w:ascii="Times New Roman" w:hAnsi="Times New Roman" w:eastAsia="宋体" w:cs="Times New Roman"/>
                    <w:b/>
                    <w:sz w:val="18"/>
                    <w:szCs w:val="18"/>
                  </w:rPr>
                  <w:t>2</w:t>
                </w:r>
                <w:r>
                  <w:rPr>
                    <w:rFonts w:ascii="Times New Roman" w:hAnsi="Times New Roman" w:eastAsia="宋体" w:cs="Times New Roman"/>
                    <w:sz w:val="18"/>
                    <w:szCs w:val="18"/>
                  </w:rPr>
                  <w:fldChar w:fldCharType="end"/>
                </w:r>
              </w:p>
            </w:txbxContent>
          </v:textbox>
        </v:shape>
      </w:pict>
    </w:r>
    <w:r>
      <w:rPr>
        <w:rFonts w:ascii="Times New Roman" w:hAnsi="Times New Roman" w:eastAsia="宋体" w:cs="Times New Roman"/>
        <w:sz w:val="18"/>
        <w:szCs w:val="18"/>
      </w:rPr>
      <w:pict>
        <v:shape id="文本框 1028" o:spid="_x0000_s1027" o:spt="202" type="#_x0000_t202" style="position:absolute;left:0pt;margin-left:0pt;margin-top:2.05pt;height:17.4pt;width:11.1pt;mso-position-horizontal-relative:margin;mso-wrap-distance-bottom:0pt;mso-wrap-distance-left:0pt;mso-wrap-distance-right:0pt;mso-wrap-distance-top:0pt;z-index:251663360;mso-width-relative:page;mso-height-relative:page;" filled="f" stroked="f" coordsize="21600,21600" o:gfxdata="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yk4N1AAAAAQBAAAPAAAAAAAAAAEAIAAAACIAAABkcnMvZG93bnJldi54bWxQSwEC&#10;FAAUAAAACACHTuJAlDbRur8BAACCAwAADgAAAAAAAAABACAAAAAjAQAAZHJzL2Uyb0RvYy54bWxQ&#10;SwUGAAAAAAYABgBZAQAAVAUAAAAA&#10;">
          <v:path/>
          <v:fill on="f" focussize="0,0"/>
          <v:stroke on="f" joinstyle="miter"/>
          <v:imagedata o:title=""/>
          <o:lock v:ext="edit"/>
          <v:textbox inset="0mm,0mm,0mm,0mm">
            <w:txbxContent>
              <w:p>
                <w:pPr>
                  <w:tabs>
                    <w:tab w:val="center" w:pos="4153"/>
                    <w:tab w:val="right" w:pos="8306"/>
                  </w:tabs>
                  <w:snapToGrid w:val="0"/>
                  <w:jc w:val="left"/>
                  <w:rPr>
                    <w:rFonts w:ascii="Times New Roman" w:hAnsi="Times New Roman" w:eastAsia="宋体" w:cs="Times New Roman"/>
                    <w:sz w:val="18"/>
                    <w:szCs w:val="18"/>
                  </w:rPr>
                </w:pPr>
              </w:p>
            </w:txbxContent>
          </v:textbox>
          <w10:wrap type="square"/>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Times New Roman" w:hAnsi="Times New Roman" w:eastAsia="宋体" w:cs="Times New Roman"/>
      </w:rPr>
    </w:pPr>
    <w:r>
      <w:rPr>
        <w:rFonts w:ascii="Times New Roman" w:hAnsi="Times New Roman" w:eastAsia="宋体" w:cs="Times New Roman"/>
      </w:rPr>
      <w:tab/>
    </w:r>
    <w:r>
      <w:rPr>
        <w:rFonts w:ascii="Times New Roman" w:hAnsi="Times New Roman" w:eastAsia="宋体" w:cs="Times New Roman"/>
      </w:rPr>
      <w:tab/>
    </w:r>
    <w:r>
      <w:rPr>
        <w:rFonts w:ascii="Times New Roman" w:hAnsi="Times New Roman" w:eastAsia="宋体" w:cs="Times New Roman"/>
      </w:rPr>
      <w:tab/>
    </w:r>
    <w:r>
      <w:rPr>
        <w:rFonts w:ascii="Times New Roman" w:hAnsi="Times New Roman" w:eastAsia="宋体" w:cs="Times New Roman"/>
      </w:rPr>
      <w:tab/>
    </w:r>
    <w:r>
      <w:rPr>
        <w:rFonts w:ascii="Times New Roman" w:hAnsi="Times New Roman" w:eastAsia="宋体" w:cs="Times New Roman"/>
      </w:rPr>
      <w:tab/>
    </w:r>
    <w:r>
      <w:rPr>
        <w:rFonts w:ascii="Times New Roman" w:hAnsi="Times New Roman" w:eastAsia="宋体" w:cs="Times New Roma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tabs>
        <w:tab w:val="center" w:pos="4153"/>
        <w:tab w:val="right" w:pos="8306"/>
      </w:tabs>
      <w:snapToGrid w:val="0"/>
      <w:jc w:val="center"/>
      <w:rPr>
        <w:rFonts w:ascii="Times New Roman" w:hAnsi="Times New Roman" w:eastAsia="宋体" w:cs="Times New Roman"/>
        <w:sz w:val="18"/>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F052F7"/>
    <w:multiLevelType w:val="multilevel"/>
    <w:tmpl w:val="87F052F7"/>
    <w:lvl w:ilvl="0" w:tentative="0">
      <w:start w:val="1"/>
      <w:numFmt w:val="decimal"/>
      <w:suff w:val="nothing"/>
      <w:lvlText w:val="第 %1 章 "/>
      <w:lvlJc w:val="center"/>
      <w:pPr>
        <w:tabs>
          <w:tab w:val="left" w:pos="0"/>
        </w:tabs>
        <w:ind w:left="0" w:firstLine="420"/>
      </w:pPr>
      <w:rPr>
        <w:rFonts w:hint="default" w:ascii="Times New Roman" w:hAnsi="Times New Roman" w:eastAsia="黑体" w:cs="黑体"/>
        <w:sz w:val="32"/>
        <w:szCs w:val="32"/>
      </w:rPr>
    </w:lvl>
    <w:lvl w:ilvl="1" w:tentative="0">
      <w:start w:val="1"/>
      <w:numFmt w:val="decimal"/>
      <w:isLgl/>
      <w:suff w:val="space"/>
      <w:lvlText w:val="%1.%2"/>
      <w:lvlJc w:val="left"/>
      <w:pPr>
        <w:tabs>
          <w:tab w:val="left" w:pos="420"/>
        </w:tabs>
        <w:ind w:left="0" w:firstLine="0"/>
      </w:pPr>
      <w:rPr>
        <w:rFonts w:hint="default" w:ascii="宋体" w:hAnsi="宋体" w:eastAsia="宋体" w:cs="宋体"/>
      </w:rPr>
    </w:lvl>
    <w:lvl w:ilvl="2" w:tentative="0">
      <w:start w:val="1"/>
      <w:numFmt w:val="decimal"/>
      <w:pStyle w:val="5"/>
      <w:isLgl/>
      <w:suff w:val="space"/>
      <w:lvlText w:val="%1.%2.%3"/>
      <w:lvlJc w:val="left"/>
      <w:pPr>
        <w:tabs>
          <w:tab w:val="left" w:pos="0"/>
        </w:tabs>
        <w:ind w:left="720" w:hanging="720"/>
      </w:pPr>
      <w:rPr>
        <w:rFonts w:hint="default" w:ascii="宋体" w:hAnsi="宋体" w:eastAsia="宋体" w:cs="宋体"/>
        <w:sz w:val="28"/>
        <w:szCs w:val="28"/>
      </w:rPr>
    </w:lvl>
    <w:lvl w:ilvl="3" w:tentative="0">
      <w:start w:val="1"/>
      <w:numFmt w:val="decimal"/>
      <w:isLgl/>
      <w:suff w:val="space"/>
      <w:lvlText w:val="%1.%2.%3.%4"/>
      <w:lvlJc w:val="left"/>
      <w:pPr>
        <w:tabs>
          <w:tab w:val="left" w:pos="420"/>
        </w:tabs>
        <w:ind w:left="0" w:firstLine="0"/>
      </w:pPr>
      <w:rPr>
        <w:rFonts w:hint="default" w:ascii="宋体" w:hAnsi="宋体" w:eastAsia="宋体" w:cs="宋体"/>
        <w:sz w:val="24"/>
        <w:szCs w:val="24"/>
      </w:rPr>
    </w:lvl>
    <w:lvl w:ilvl="4" w:tentative="0">
      <w:start w:val="1"/>
      <w:numFmt w:val="decimal"/>
      <w:isLgl/>
      <w:lvlText w:val="%1.%2.%3.%4.%5."/>
      <w:lvlJc w:val="left"/>
      <w:pPr>
        <w:ind w:left="1008" w:hanging="1008"/>
      </w:pPr>
      <w:rPr>
        <w:rFonts w:hint="eastAsia"/>
      </w:rPr>
    </w:lvl>
    <w:lvl w:ilvl="5" w:tentative="0">
      <w:start w:val="1"/>
      <w:numFmt w:val="decimal"/>
      <w:isLgl/>
      <w:lvlText w:val="%1.%2.%3.%4.%5.%6."/>
      <w:lvlJc w:val="left"/>
      <w:pPr>
        <w:ind w:left="1151" w:hanging="1151"/>
      </w:pPr>
      <w:rPr>
        <w:rFonts w:hint="eastAsia"/>
      </w:rPr>
    </w:lvl>
    <w:lvl w:ilvl="6" w:tentative="0">
      <w:start w:val="1"/>
      <w:numFmt w:val="decimal"/>
      <w:isLgl/>
      <w:lvlText w:val="%1.%2.%3.%4.%5.%6.%7."/>
      <w:lvlJc w:val="left"/>
      <w:pPr>
        <w:ind w:left="1296" w:hanging="1296"/>
      </w:pPr>
      <w:rPr>
        <w:rFonts w:hint="eastAsia"/>
      </w:rPr>
    </w:lvl>
    <w:lvl w:ilvl="7" w:tentative="0">
      <w:start w:val="1"/>
      <w:numFmt w:val="decimal"/>
      <w:isLgl/>
      <w:lvlText w:val="%1.%2.%3.%4.%5.%6.%7.%8."/>
      <w:lvlJc w:val="left"/>
      <w:pPr>
        <w:ind w:left="1440" w:hanging="1440"/>
      </w:pPr>
      <w:rPr>
        <w:rFonts w:hint="eastAsia"/>
      </w:rPr>
    </w:lvl>
    <w:lvl w:ilvl="8" w:tentative="0">
      <w:start w:val="1"/>
      <w:numFmt w:val="decimal"/>
      <w:isLgl/>
      <w:lvlText w:val="%1.%2.%3.%4.%5.%6.%7.%8.%9."/>
      <w:lvlJc w:val="left"/>
      <w:pPr>
        <w:ind w:left="1583" w:hanging="1583"/>
      </w:pPr>
      <w:rPr>
        <w:rFonts w:hint="eastAsia"/>
      </w:rPr>
    </w:lvl>
  </w:abstractNum>
  <w:abstractNum w:abstractNumId="1">
    <w:nsid w:val="BA3F9864"/>
    <w:multiLevelType w:val="singleLevel"/>
    <w:tmpl w:val="BA3F9864"/>
    <w:lvl w:ilvl="0" w:tentative="0">
      <w:start w:val="2"/>
      <w:numFmt w:val="decimal"/>
      <w:suff w:val="space"/>
      <w:lvlText w:val="%1."/>
      <w:lvlJc w:val="left"/>
    </w:lvl>
  </w:abstractNum>
  <w:abstractNum w:abstractNumId="2">
    <w:nsid w:val="BA5E6ABB"/>
    <w:multiLevelType w:val="singleLevel"/>
    <w:tmpl w:val="BA5E6ABB"/>
    <w:lvl w:ilvl="0" w:tentative="0">
      <w:start w:val="3"/>
      <w:numFmt w:val="chineseCounting"/>
      <w:suff w:val="space"/>
      <w:lvlText w:val="第%1章"/>
      <w:lvlJc w:val="left"/>
      <w:rPr>
        <w:rFonts w:hint="eastAsia"/>
      </w:rPr>
    </w:lvl>
  </w:abstractNum>
  <w:abstractNum w:abstractNumId="3">
    <w:nsid w:val="5550CE73"/>
    <w:multiLevelType w:val="singleLevel"/>
    <w:tmpl w:val="5550CE73"/>
    <w:lvl w:ilvl="0" w:tentative="0">
      <w:start w:val="1"/>
      <w:numFmt w:val="bullet"/>
      <w:pStyle w:val="10"/>
      <w:lvlText w:val=""/>
      <w:lvlJc w:val="left"/>
      <w:pPr>
        <w:tabs>
          <w:tab w:val="left" w:pos="780"/>
        </w:tabs>
        <w:ind w:left="780" w:hanging="360"/>
      </w:pPr>
      <w:rPr>
        <w:rFonts w:hint="default" w:ascii="Wingdings" w:hAnsi="Wingdings"/>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GEzYjg2MWNmNmI5Y2Q1MjE2MDI2YTg0NzZlY2Y2OGEifQ=="/>
  </w:docVars>
  <w:rsids>
    <w:rsidRoot w:val="338D3C09"/>
    <w:rsid w:val="00013654"/>
    <w:rsid w:val="00045D2C"/>
    <w:rsid w:val="00092614"/>
    <w:rsid w:val="000C3A54"/>
    <w:rsid w:val="000C3DA7"/>
    <w:rsid w:val="000E0CE9"/>
    <w:rsid w:val="000E3DA0"/>
    <w:rsid w:val="001166C2"/>
    <w:rsid w:val="001621D6"/>
    <w:rsid w:val="00166AF2"/>
    <w:rsid w:val="00177A33"/>
    <w:rsid w:val="00197A0D"/>
    <w:rsid w:val="001A78A4"/>
    <w:rsid w:val="001D6424"/>
    <w:rsid w:val="00205E6C"/>
    <w:rsid w:val="00221904"/>
    <w:rsid w:val="00237A6E"/>
    <w:rsid w:val="00244E03"/>
    <w:rsid w:val="00261D2A"/>
    <w:rsid w:val="0026416A"/>
    <w:rsid w:val="002766B9"/>
    <w:rsid w:val="002A7CF5"/>
    <w:rsid w:val="002E587E"/>
    <w:rsid w:val="002E7613"/>
    <w:rsid w:val="00347394"/>
    <w:rsid w:val="00376A0F"/>
    <w:rsid w:val="003A3EC9"/>
    <w:rsid w:val="003B4943"/>
    <w:rsid w:val="003C5958"/>
    <w:rsid w:val="0042690A"/>
    <w:rsid w:val="00453EBA"/>
    <w:rsid w:val="004710B0"/>
    <w:rsid w:val="004871F5"/>
    <w:rsid w:val="00491352"/>
    <w:rsid w:val="004B0D73"/>
    <w:rsid w:val="00547B02"/>
    <w:rsid w:val="00577CFC"/>
    <w:rsid w:val="0069441A"/>
    <w:rsid w:val="006E7958"/>
    <w:rsid w:val="00702069"/>
    <w:rsid w:val="00703135"/>
    <w:rsid w:val="007511BD"/>
    <w:rsid w:val="00760DF0"/>
    <w:rsid w:val="00775E79"/>
    <w:rsid w:val="00784DFC"/>
    <w:rsid w:val="007C2FEE"/>
    <w:rsid w:val="008131EC"/>
    <w:rsid w:val="00854A3A"/>
    <w:rsid w:val="00871B53"/>
    <w:rsid w:val="008A4359"/>
    <w:rsid w:val="008E40BE"/>
    <w:rsid w:val="00916083"/>
    <w:rsid w:val="00922528"/>
    <w:rsid w:val="00942756"/>
    <w:rsid w:val="0094337F"/>
    <w:rsid w:val="0094398C"/>
    <w:rsid w:val="00985AC3"/>
    <w:rsid w:val="009D1717"/>
    <w:rsid w:val="009D1E87"/>
    <w:rsid w:val="00A046E4"/>
    <w:rsid w:val="00A21D7E"/>
    <w:rsid w:val="00AF4FD3"/>
    <w:rsid w:val="00B72021"/>
    <w:rsid w:val="00BE52A3"/>
    <w:rsid w:val="00C75A54"/>
    <w:rsid w:val="00C9437F"/>
    <w:rsid w:val="00CF3BC4"/>
    <w:rsid w:val="00D064B6"/>
    <w:rsid w:val="00D44E43"/>
    <w:rsid w:val="00D724C0"/>
    <w:rsid w:val="00D77D34"/>
    <w:rsid w:val="00DE72E7"/>
    <w:rsid w:val="00DF3365"/>
    <w:rsid w:val="00DF668D"/>
    <w:rsid w:val="00DF7160"/>
    <w:rsid w:val="00E536C6"/>
    <w:rsid w:val="00E92BF6"/>
    <w:rsid w:val="00EA6979"/>
    <w:rsid w:val="00F16214"/>
    <w:rsid w:val="01251E99"/>
    <w:rsid w:val="014211D7"/>
    <w:rsid w:val="014F2DC0"/>
    <w:rsid w:val="014F7DD5"/>
    <w:rsid w:val="01505F15"/>
    <w:rsid w:val="015B5A28"/>
    <w:rsid w:val="015E4AD6"/>
    <w:rsid w:val="015F762C"/>
    <w:rsid w:val="016F408E"/>
    <w:rsid w:val="018133FF"/>
    <w:rsid w:val="01B7755A"/>
    <w:rsid w:val="01BA2596"/>
    <w:rsid w:val="01D1660C"/>
    <w:rsid w:val="01DE4BA3"/>
    <w:rsid w:val="01E35F07"/>
    <w:rsid w:val="01EA4AB6"/>
    <w:rsid w:val="01ED1D27"/>
    <w:rsid w:val="01F952D5"/>
    <w:rsid w:val="01FF4B87"/>
    <w:rsid w:val="022F73C3"/>
    <w:rsid w:val="02300221"/>
    <w:rsid w:val="0231567C"/>
    <w:rsid w:val="0233289D"/>
    <w:rsid w:val="023F0464"/>
    <w:rsid w:val="02402B4B"/>
    <w:rsid w:val="024110A5"/>
    <w:rsid w:val="024119BF"/>
    <w:rsid w:val="024D4A7D"/>
    <w:rsid w:val="024F3740"/>
    <w:rsid w:val="027E2898"/>
    <w:rsid w:val="02A3261D"/>
    <w:rsid w:val="02A46B62"/>
    <w:rsid w:val="02AD764B"/>
    <w:rsid w:val="02B072EB"/>
    <w:rsid w:val="02C30210"/>
    <w:rsid w:val="02C6029B"/>
    <w:rsid w:val="02D73510"/>
    <w:rsid w:val="02E828A9"/>
    <w:rsid w:val="02E856EB"/>
    <w:rsid w:val="03085DD0"/>
    <w:rsid w:val="030B199A"/>
    <w:rsid w:val="030D2267"/>
    <w:rsid w:val="03100052"/>
    <w:rsid w:val="03143BD1"/>
    <w:rsid w:val="033A0C2B"/>
    <w:rsid w:val="035166A0"/>
    <w:rsid w:val="036607C0"/>
    <w:rsid w:val="036734CF"/>
    <w:rsid w:val="036B64E8"/>
    <w:rsid w:val="037339E3"/>
    <w:rsid w:val="03801059"/>
    <w:rsid w:val="03877430"/>
    <w:rsid w:val="039B3227"/>
    <w:rsid w:val="03A42144"/>
    <w:rsid w:val="03B17ED2"/>
    <w:rsid w:val="03B727D7"/>
    <w:rsid w:val="03D70271"/>
    <w:rsid w:val="03D93C7C"/>
    <w:rsid w:val="03E34633"/>
    <w:rsid w:val="03EA48BD"/>
    <w:rsid w:val="03F61164"/>
    <w:rsid w:val="03F95652"/>
    <w:rsid w:val="03FA35B4"/>
    <w:rsid w:val="04011D9C"/>
    <w:rsid w:val="0402799B"/>
    <w:rsid w:val="04162D62"/>
    <w:rsid w:val="0425296F"/>
    <w:rsid w:val="04474819"/>
    <w:rsid w:val="045A355B"/>
    <w:rsid w:val="045F4253"/>
    <w:rsid w:val="049A419F"/>
    <w:rsid w:val="04A362D9"/>
    <w:rsid w:val="04A930A7"/>
    <w:rsid w:val="04C06A86"/>
    <w:rsid w:val="04C37E56"/>
    <w:rsid w:val="04C6684D"/>
    <w:rsid w:val="04D330E5"/>
    <w:rsid w:val="04D50706"/>
    <w:rsid w:val="04D92030"/>
    <w:rsid w:val="04DC5757"/>
    <w:rsid w:val="04EE4C43"/>
    <w:rsid w:val="04F225EE"/>
    <w:rsid w:val="04FB5FB2"/>
    <w:rsid w:val="04FE63B4"/>
    <w:rsid w:val="050671D6"/>
    <w:rsid w:val="051E5497"/>
    <w:rsid w:val="052D6C99"/>
    <w:rsid w:val="0531758E"/>
    <w:rsid w:val="05483AD3"/>
    <w:rsid w:val="054B6E70"/>
    <w:rsid w:val="054F1F1D"/>
    <w:rsid w:val="0588312A"/>
    <w:rsid w:val="05A94AB8"/>
    <w:rsid w:val="05B13426"/>
    <w:rsid w:val="05D46A7F"/>
    <w:rsid w:val="05DE4605"/>
    <w:rsid w:val="0607245B"/>
    <w:rsid w:val="06164031"/>
    <w:rsid w:val="06191786"/>
    <w:rsid w:val="061A500F"/>
    <w:rsid w:val="06290AFB"/>
    <w:rsid w:val="063D218F"/>
    <w:rsid w:val="06484BAE"/>
    <w:rsid w:val="064D67D9"/>
    <w:rsid w:val="06577474"/>
    <w:rsid w:val="06720DD3"/>
    <w:rsid w:val="06750CDE"/>
    <w:rsid w:val="067A7CBC"/>
    <w:rsid w:val="068255E4"/>
    <w:rsid w:val="068D4D60"/>
    <w:rsid w:val="0697042D"/>
    <w:rsid w:val="06A44E95"/>
    <w:rsid w:val="06A845CE"/>
    <w:rsid w:val="06C42B1D"/>
    <w:rsid w:val="06C65ADC"/>
    <w:rsid w:val="06CB49BC"/>
    <w:rsid w:val="06D02705"/>
    <w:rsid w:val="06EC66E0"/>
    <w:rsid w:val="06F07F7E"/>
    <w:rsid w:val="06F91055"/>
    <w:rsid w:val="070C28DE"/>
    <w:rsid w:val="071D4945"/>
    <w:rsid w:val="072B079D"/>
    <w:rsid w:val="073625C3"/>
    <w:rsid w:val="07437455"/>
    <w:rsid w:val="07466C0A"/>
    <w:rsid w:val="07504EC1"/>
    <w:rsid w:val="07536A7F"/>
    <w:rsid w:val="075E5243"/>
    <w:rsid w:val="076C429A"/>
    <w:rsid w:val="07773A6B"/>
    <w:rsid w:val="07872474"/>
    <w:rsid w:val="07890F47"/>
    <w:rsid w:val="079D03AF"/>
    <w:rsid w:val="07A53C5D"/>
    <w:rsid w:val="07AD2313"/>
    <w:rsid w:val="07CA3322"/>
    <w:rsid w:val="07D16002"/>
    <w:rsid w:val="07D97B6D"/>
    <w:rsid w:val="07DC487E"/>
    <w:rsid w:val="07DE7BEC"/>
    <w:rsid w:val="07DF2D43"/>
    <w:rsid w:val="07E15B19"/>
    <w:rsid w:val="07E35D35"/>
    <w:rsid w:val="0801278C"/>
    <w:rsid w:val="080C56CF"/>
    <w:rsid w:val="08114679"/>
    <w:rsid w:val="081B102B"/>
    <w:rsid w:val="081E4FBF"/>
    <w:rsid w:val="08221400"/>
    <w:rsid w:val="08293C0D"/>
    <w:rsid w:val="0835400B"/>
    <w:rsid w:val="0874698D"/>
    <w:rsid w:val="087846CF"/>
    <w:rsid w:val="089E3A0A"/>
    <w:rsid w:val="08C42D09"/>
    <w:rsid w:val="08C714CE"/>
    <w:rsid w:val="08C97A1E"/>
    <w:rsid w:val="08E012EA"/>
    <w:rsid w:val="08E33BFA"/>
    <w:rsid w:val="090048DC"/>
    <w:rsid w:val="09094614"/>
    <w:rsid w:val="09137F54"/>
    <w:rsid w:val="091F455E"/>
    <w:rsid w:val="09376408"/>
    <w:rsid w:val="094D5BFC"/>
    <w:rsid w:val="095C7DBD"/>
    <w:rsid w:val="096609CC"/>
    <w:rsid w:val="096D3B08"/>
    <w:rsid w:val="096D7F56"/>
    <w:rsid w:val="09776735"/>
    <w:rsid w:val="097F55EA"/>
    <w:rsid w:val="09860F8E"/>
    <w:rsid w:val="09A339CE"/>
    <w:rsid w:val="09AB5AC4"/>
    <w:rsid w:val="09DC7F62"/>
    <w:rsid w:val="09DE0562"/>
    <w:rsid w:val="09E10F9C"/>
    <w:rsid w:val="09E33BDC"/>
    <w:rsid w:val="09ED3F62"/>
    <w:rsid w:val="0A1621A6"/>
    <w:rsid w:val="0A2166A1"/>
    <w:rsid w:val="0A5B13F8"/>
    <w:rsid w:val="0A7E3D93"/>
    <w:rsid w:val="0AA6074F"/>
    <w:rsid w:val="0AA73804"/>
    <w:rsid w:val="0AA96DC2"/>
    <w:rsid w:val="0AC57BE3"/>
    <w:rsid w:val="0AC934BA"/>
    <w:rsid w:val="0ACE4A7B"/>
    <w:rsid w:val="0ADA3EC4"/>
    <w:rsid w:val="0ADB2567"/>
    <w:rsid w:val="0AEC6920"/>
    <w:rsid w:val="0AF64488"/>
    <w:rsid w:val="0B0052A5"/>
    <w:rsid w:val="0B041A9B"/>
    <w:rsid w:val="0B12728F"/>
    <w:rsid w:val="0B1B7A70"/>
    <w:rsid w:val="0B2E4B8E"/>
    <w:rsid w:val="0B332DB3"/>
    <w:rsid w:val="0B66173A"/>
    <w:rsid w:val="0B6B22C9"/>
    <w:rsid w:val="0B700CB1"/>
    <w:rsid w:val="0B911AD5"/>
    <w:rsid w:val="0B9510F4"/>
    <w:rsid w:val="0B9C703C"/>
    <w:rsid w:val="0BB73761"/>
    <w:rsid w:val="0BC37763"/>
    <w:rsid w:val="0BCF6437"/>
    <w:rsid w:val="0BD42EA7"/>
    <w:rsid w:val="0BE060AB"/>
    <w:rsid w:val="0BE5073A"/>
    <w:rsid w:val="0BEC64DF"/>
    <w:rsid w:val="0BF613BA"/>
    <w:rsid w:val="0BF642F0"/>
    <w:rsid w:val="0BFA26CC"/>
    <w:rsid w:val="0C121409"/>
    <w:rsid w:val="0C2B724F"/>
    <w:rsid w:val="0C4548C9"/>
    <w:rsid w:val="0C7A78E7"/>
    <w:rsid w:val="0C8240FA"/>
    <w:rsid w:val="0CB47CA0"/>
    <w:rsid w:val="0CBD0903"/>
    <w:rsid w:val="0CE12595"/>
    <w:rsid w:val="0CF1277C"/>
    <w:rsid w:val="0CF956B3"/>
    <w:rsid w:val="0D095575"/>
    <w:rsid w:val="0D0E6A58"/>
    <w:rsid w:val="0D1E09AD"/>
    <w:rsid w:val="0D264362"/>
    <w:rsid w:val="0D381D74"/>
    <w:rsid w:val="0D3D4160"/>
    <w:rsid w:val="0D444BF6"/>
    <w:rsid w:val="0D500855"/>
    <w:rsid w:val="0D5E151F"/>
    <w:rsid w:val="0D6F4E1F"/>
    <w:rsid w:val="0D703BC7"/>
    <w:rsid w:val="0D711963"/>
    <w:rsid w:val="0D736116"/>
    <w:rsid w:val="0D8D045B"/>
    <w:rsid w:val="0D980066"/>
    <w:rsid w:val="0DA10095"/>
    <w:rsid w:val="0DA40CBE"/>
    <w:rsid w:val="0DAD437D"/>
    <w:rsid w:val="0DB53CD0"/>
    <w:rsid w:val="0DB60C93"/>
    <w:rsid w:val="0DBD15EE"/>
    <w:rsid w:val="0DCE17DD"/>
    <w:rsid w:val="0DD408C5"/>
    <w:rsid w:val="0DD51C7C"/>
    <w:rsid w:val="0DDA516F"/>
    <w:rsid w:val="0DF32DFA"/>
    <w:rsid w:val="0DF420B6"/>
    <w:rsid w:val="0E091442"/>
    <w:rsid w:val="0E2F4817"/>
    <w:rsid w:val="0E43781C"/>
    <w:rsid w:val="0E4A08BC"/>
    <w:rsid w:val="0E682AF0"/>
    <w:rsid w:val="0E7D4279"/>
    <w:rsid w:val="0E8D07A9"/>
    <w:rsid w:val="0E9525CD"/>
    <w:rsid w:val="0E9953A0"/>
    <w:rsid w:val="0EB67D00"/>
    <w:rsid w:val="0EB76518"/>
    <w:rsid w:val="0EDC70EA"/>
    <w:rsid w:val="0EDD34DE"/>
    <w:rsid w:val="0EE53024"/>
    <w:rsid w:val="0EED0A31"/>
    <w:rsid w:val="0F074776"/>
    <w:rsid w:val="0F1113DA"/>
    <w:rsid w:val="0F18725B"/>
    <w:rsid w:val="0F187DBB"/>
    <w:rsid w:val="0F2440D7"/>
    <w:rsid w:val="0F3D3AB4"/>
    <w:rsid w:val="0F6E755A"/>
    <w:rsid w:val="0F77683F"/>
    <w:rsid w:val="0F875103"/>
    <w:rsid w:val="0F8C0A60"/>
    <w:rsid w:val="0FA500A8"/>
    <w:rsid w:val="0FB90DD7"/>
    <w:rsid w:val="0FBD50BE"/>
    <w:rsid w:val="0FC94B29"/>
    <w:rsid w:val="0FEE5277"/>
    <w:rsid w:val="0FF41ADA"/>
    <w:rsid w:val="10077B30"/>
    <w:rsid w:val="100E40D5"/>
    <w:rsid w:val="1014773E"/>
    <w:rsid w:val="103F0670"/>
    <w:rsid w:val="104355C3"/>
    <w:rsid w:val="10484987"/>
    <w:rsid w:val="104F21BA"/>
    <w:rsid w:val="10513A70"/>
    <w:rsid w:val="105721DD"/>
    <w:rsid w:val="105D20B7"/>
    <w:rsid w:val="106A6D88"/>
    <w:rsid w:val="107D2040"/>
    <w:rsid w:val="108D705D"/>
    <w:rsid w:val="10907F18"/>
    <w:rsid w:val="109E5780"/>
    <w:rsid w:val="109E624B"/>
    <w:rsid w:val="10A07A0D"/>
    <w:rsid w:val="10AA5642"/>
    <w:rsid w:val="10AC7C33"/>
    <w:rsid w:val="10B464C1"/>
    <w:rsid w:val="10D34D5A"/>
    <w:rsid w:val="10D61FB9"/>
    <w:rsid w:val="10D97499"/>
    <w:rsid w:val="10E16330"/>
    <w:rsid w:val="10E368A9"/>
    <w:rsid w:val="10F03431"/>
    <w:rsid w:val="11072A94"/>
    <w:rsid w:val="1108342A"/>
    <w:rsid w:val="11086EBE"/>
    <w:rsid w:val="110C1E59"/>
    <w:rsid w:val="110E4174"/>
    <w:rsid w:val="11124F95"/>
    <w:rsid w:val="111725AC"/>
    <w:rsid w:val="112A0CFB"/>
    <w:rsid w:val="11366ED6"/>
    <w:rsid w:val="11515ABE"/>
    <w:rsid w:val="11634536"/>
    <w:rsid w:val="1164103E"/>
    <w:rsid w:val="119200E9"/>
    <w:rsid w:val="11944925"/>
    <w:rsid w:val="11A26319"/>
    <w:rsid w:val="11B20055"/>
    <w:rsid w:val="11BD4180"/>
    <w:rsid w:val="11C01EB2"/>
    <w:rsid w:val="11C269BB"/>
    <w:rsid w:val="11F909B7"/>
    <w:rsid w:val="1225307D"/>
    <w:rsid w:val="12287A7C"/>
    <w:rsid w:val="1240363F"/>
    <w:rsid w:val="12442950"/>
    <w:rsid w:val="12502831"/>
    <w:rsid w:val="1253154F"/>
    <w:rsid w:val="12635AA8"/>
    <w:rsid w:val="126536CA"/>
    <w:rsid w:val="129760CA"/>
    <w:rsid w:val="12A06ACB"/>
    <w:rsid w:val="12A908CC"/>
    <w:rsid w:val="12B87EF8"/>
    <w:rsid w:val="12C02EFB"/>
    <w:rsid w:val="12C26053"/>
    <w:rsid w:val="12C74E7A"/>
    <w:rsid w:val="12D01707"/>
    <w:rsid w:val="12D1335A"/>
    <w:rsid w:val="12FC64E7"/>
    <w:rsid w:val="12FD60C7"/>
    <w:rsid w:val="132D1D1A"/>
    <w:rsid w:val="13347DAB"/>
    <w:rsid w:val="133F0A67"/>
    <w:rsid w:val="134A0B53"/>
    <w:rsid w:val="13511DA5"/>
    <w:rsid w:val="13583122"/>
    <w:rsid w:val="13843362"/>
    <w:rsid w:val="139A3EF6"/>
    <w:rsid w:val="139B0DEE"/>
    <w:rsid w:val="139E2D5C"/>
    <w:rsid w:val="13D65D70"/>
    <w:rsid w:val="13EF4482"/>
    <w:rsid w:val="13F3348F"/>
    <w:rsid w:val="140123D7"/>
    <w:rsid w:val="140E113C"/>
    <w:rsid w:val="141F4779"/>
    <w:rsid w:val="1429657E"/>
    <w:rsid w:val="143B1D41"/>
    <w:rsid w:val="145730B1"/>
    <w:rsid w:val="147745A1"/>
    <w:rsid w:val="14775465"/>
    <w:rsid w:val="148065AF"/>
    <w:rsid w:val="1481068F"/>
    <w:rsid w:val="14915658"/>
    <w:rsid w:val="14984438"/>
    <w:rsid w:val="14A05457"/>
    <w:rsid w:val="14A302ED"/>
    <w:rsid w:val="14A63EA8"/>
    <w:rsid w:val="14C60571"/>
    <w:rsid w:val="14C842E9"/>
    <w:rsid w:val="14F70B10"/>
    <w:rsid w:val="14F91A61"/>
    <w:rsid w:val="150115A9"/>
    <w:rsid w:val="15242AD3"/>
    <w:rsid w:val="15266232"/>
    <w:rsid w:val="152A2022"/>
    <w:rsid w:val="152F25BA"/>
    <w:rsid w:val="15740F9E"/>
    <w:rsid w:val="159A5332"/>
    <w:rsid w:val="15A30D28"/>
    <w:rsid w:val="15AD67BB"/>
    <w:rsid w:val="15C61A57"/>
    <w:rsid w:val="15DF60D6"/>
    <w:rsid w:val="15E72E4C"/>
    <w:rsid w:val="15E85102"/>
    <w:rsid w:val="160752E5"/>
    <w:rsid w:val="162D1154"/>
    <w:rsid w:val="16304ACE"/>
    <w:rsid w:val="163D44F0"/>
    <w:rsid w:val="163D6047"/>
    <w:rsid w:val="164E081E"/>
    <w:rsid w:val="1651030E"/>
    <w:rsid w:val="16560EE7"/>
    <w:rsid w:val="16590A62"/>
    <w:rsid w:val="165B0B3D"/>
    <w:rsid w:val="16657BE6"/>
    <w:rsid w:val="166A2814"/>
    <w:rsid w:val="16717C56"/>
    <w:rsid w:val="16742266"/>
    <w:rsid w:val="16BE38C9"/>
    <w:rsid w:val="16D90B34"/>
    <w:rsid w:val="16E13755"/>
    <w:rsid w:val="16EA085D"/>
    <w:rsid w:val="16ED3539"/>
    <w:rsid w:val="170B2A19"/>
    <w:rsid w:val="170B2F8A"/>
    <w:rsid w:val="17147CB9"/>
    <w:rsid w:val="171B41FF"/>
    <w:rsid w:val="171C7831"/>
    <w:rsid w:val="17213651"/>
    <w:rsid w:val="17222C66"/>
    <w:rsid w:val="17235BED"/>
    <w:rsid w:val="17343EB7"/>
    <w:rsid w:val="1739719B"/>
    <w:rsid w:val="17397720"/>
    <w:rsid w:val="173B732A"/>
    <w:rsid w:val="174D2F8F"/>
    <w:rsid w:val="17596CB7"/>
    <w:rsid w:val="176C2B5C"/>
    <w:rsid w:val="176D1177"/>
    <w:rsid w:val="1773005D"/>
    <w:rsid w:val="177D1FB8"/>
    <w:rsid w:val="17825FDA"/>
    <w:rsid w:val="179104C6"/>
    <w:rsid w:val="179157AF"/>
    <w:rsid w:val="179E46C5"/>
    <w:rsid w:val="179F7EA6"/>
    <w:rsid w:val="17A67E3B"/>
    <w:rsid w:val="17BD15A7"/>
    <w:rsid w:val="17C25752"/>
    <w:rsid w:val="17D16426"/>
    <w:rsid w:val="17F359D2"/>
    <w:rsid w:val="17FC10DA"/>
    <w:rsid w:val="17FF1DFC"/>
    <w:rsid w:val="180715CC"/>
    <w:rsid w:val="181B2472"/>
    <w:rsid w:val="18357EE7"/>
    <w:rsid w:val="18471EA8"/>
    <w:rsid w:val="18567E5D"/>
    <w:rsid w:val="185B5C9A"/>
    <w:rsid w:val="18673E19"/>
    <w:rsid w:val="186802BC"/>
    <w:rsid w:val="187800EC"/>
    <w:rsid w:val="188A0E12"/>
    <w:rsid w:val="18981A0C"/>
    <w:rsid w:val="18A07277"/>
    <w:rsid w:val="18A22F08"/>
    <w:rsid w:val="18A633CC"/>
    <w:rsid w:val="18AE4838"/>
    <w:rsid w:val="18BC1226"/>
    <w:rsid w:val="18BC23B6"/>
    <w:rsid w:val="18BF2A70"/>
    <w:rsid w:val="18C57E95"/>
    <w:rsid w:val="18C85F48"/>
    <w:rsid w:val="18DD180C"/>
    <w:rsid w:val="18E16C77"/>
    <w:rsid w:val="18E839A9"/>
    <w:rsid w:val="18EA6F23"/>
    <w:rsid w:val="18EB1A29"/>
    <w:rsid w:val="18ED2570"/>
    <w:rsid w:val="19094469"/>
    <w:rsid w:val="190B50EC"/>
    <w:rsid w:val="190D63CE"/>
    <w:rsid w:val="191D01E5"/>
    <w:rsid w:val="192835A8"/>
    <w:rsid w:val="193E0479"/>
    <w:rsid w:val="193E2DCB"/>
    <w:rsid w:val="195725A1"/>
    <w:rsid w:val="1977659D"/>
    <w:rsid w:val="197775B9"/>
    <w:rsid w:val="197B401F"/>
    <w:rsid w:val="19800A63"/>
    <w:rsid w:val="198772A8"/>
    <w:rsid w:val="198B5E3A"/>
    <w:rsid w:val="19910B5A"/>
    <w:rsid w:val="199F74A2"/>
    <w:rsid w:val="19A31619"/>
    <w:rsid w:val="19A5203A"/>
    <w:rsid w:val="19AF337B"/>
    <w:rsid w:val="19CE0BFB"/>
    <w:rsid w:val="19E05171"/>
    <w:rsid w:val="19EB008C"/>
    <w:rsid w:val="19EF40C6"/>
    <w:rsid w:val="19FA4386"/>
    <w:rsid w:val="1A0379A9"/>
    <w:rsid w:val="1A0D0A45"/>
    <w:rsid w:val="1A143B2C"/>
    <w:rsid w:val="1A3638B2"/>
    <w:rsid w:val="1A5031F6"/>
    <w:rsid w:val="1A8202E0"/>
    <w:rsid w:val="1A842C7A"/>
    <w:rsid w:val="1A8A7F67"/>
    <w:rsid w:val="1AA247A1"/>
    <w:rsid w:val="1AB1581F"/>
    <w:rsid w:val="1AB32175"/>
    <w:rsid w:val="1AB32536"/>
    <w:rsid w:val="1AB86BAD"/>
    <w:rsid w:val="1ACC3A4D"/>
    <w:rsid w:val="1AE81005"/>
    <w:rsid w:val="1AF3397B"/>
    <w:rsid w:val="1AF5395E"/>
    <w:rsid w:val="1AFF3A38"/>
    <w:rsid w:val="1B0B5DD7"/>
    <w:rsid w:val="1B1262BE"/>
    <w:rsid w:val="1B240483"/>
    <w:rsid w:val="1B252F5D"/>
    <w:rsid w:val="1B310BE3"/>
    <w:rsid w:val="1B3609F4"/>
    <w:rsid w:val="1B4346C9"/>
    <w:rsid w:val="1B4E379B"/>
    <w:rsid w:val="1B521BB9"/>
    <w:rsid w:val="1B5C3537"/>
    <w:rsid w:val="1B5E1503"/>
    <w:rsid w:val="1B6868C3"/>
    <w:rsid w:val="1B6F54BE"/>
    <w:rsid w:val="1B7E301A"/>
    <w:rsid w:val="1B851185"/>
    <w:rsid w:val="1B8B05F0"/>
    <w:rsid w:val="1BBB257A"/>
    <w:rsid w:val="1BCD54C9"/>
    <w:rsid w:val="1BD2272B"/>
    <w:rsid w:val="1BDC7A5D"/>
    <w:rsid w:val="1BDE167F"/>
    <w:rsid w:val="1BDE2644"/>
    <w:rsid w:val="1C034FFA"/>
    <w:rsid w:val="1C1B3B19"/>
    <w:rsid w:val="1C281B11"/>
    <w:rsid w:val="1C2B3FA7"/>
    <w:rsid w:val="1C370AE4"/>
    <w:rsid w:val="1C3B5CE8"/>
    <w:rsid w:val="1C3D380E"/>
    <w:rsid w:val="1C511068"/>
    <w:rsid w:val="1C5F360A"/>
    <w:rsid w:val="1C6836B2"/>
    <w:rsid w:val="1C6B63AD"/>
    <w:rsid w:val="1CA701B4"/>
    <w:rsid w:val="1CAA5075"/>
    <w:rsid w:val="1CAC2FD5"/>
    <w:rsid w:val="1CB24ACB"/>
    <w:rsid w:val="1CBE272C"/>
    <w:rsid w:val="1CC2405F"/>
    <w:rsid w:val="1CD254B3"/>
    <w:rsid w:val="1CED198E"/>
    <w:rsid w:val="1CEE7B9A"/>
    <w:rsid w:val="1CF35F5F"/>
    <w:rsid w:val="1CF8251D"/>
    <w:rsid w:val="1CF9709D"/>
    <w:rsid w:val="1D01483C"/>
    <w:rsid w:val="1D0F0F89"/>
    <w:rsid w:val="1D1F3662"/>
    <w:rsid w:val="1D2368CC"/>
    <w:rsid w:val="1D4500D1"/>
    <w:rsid w:val="1D4B790E"/>
    <w:rsid w:val="1D556936"/>
    <w:rsid w:val="1D6E430A"/>
    <w:rsid w:val="1D864022"/>
    <w:rsid w:val="1DCC309C"/>
    <w:rsid w:val="1DE74871"/>
    <w:rsid w:val="1DEC2EB5"/>
    <w:rsid w:val="1E1723C2"/>
    <w:rsid w:val="1E3F518D"/>
    <w:rsid w:val="1E522E75"/>
    <w:rsid w:val="1E655D2B"/>
    <w:rsid w:val="1E907C8B"/>
    <w:rsid w:val="1E92670F"/>
    <w:rsid w:val="1E992F94"/>
    <w:rsid w:val="1EAD2DE3"/>
    <w:rsid w:val="1EB106C6"/>
    <w:rsid w:val="1EB91A0E"/>
    <w:rsid w:val="1EC57AEB"/>
    <w:rsid w:val="1EC700E3"/>
    <w:rsid w:val="1ECE2E43"/>
    <w:rsid w:val="1ED81A83"/>
    <w:rsid w:val="1ED8781E"/>
    <w:rsid w:val="1ED93F88"/>
    <w:rsid w:val="1EDC23DC"/>
    <w:rsid w:val="1EDD501A"/>
    <w:rsid w:val="1EE1004B"/>
    <w:rsid w:val="1EE47F71"/>
    <w:rsid w:val="1EF919FD"/>
    <w:rsid w:val="1F142FF4"/>
    <w:rsid w:val="1F1869E0"/>
    <w:rsid w:val="1F320A41"/>
    <w:rsid w:val="1F390B75"/>
    <w:rsid w:val="1F3D1A0F"/>
    <w:rsid w:val="1F41696C"/>
    <w:rsid w:val="1F5A5454"/>
    <w:rsid w:val="1F784938"/>
    <w:rsid w:val="1F946C80"/>
    <w:rsid w:val="1F9D4CCD"/>
    <w:rsid w:val="1FA44448"/>
    <w:rsid w:val="1FC448E5"/>
    <w:rsid w:val="1FDD6DA3"/>
    <w:rsid w:val="1FF03B5F"/>
    <w:rsid w:val="1FFC3E7F"/>
    <w:rsid w:val="20043B8E"/>
    <w:rsid w:val="200818C2"/>
    <w:rsid w:val="20146CBA"/>
    <w:rsid w:val="20195940"/>
    <w:rsid w:val="20250841"/>
    <w:rsid w:val="203B6290"/>
    <w:rsid w:val="20492F60"/>
    <w:rsid w:val="204A64FA"/>
    <w:rsid w:val="20542ED4"/>
    <w:rsid w:val="205816A1"/>
    <w:rsid w:val="20AC4ABE"/>
    <w:rsid w:val="20AD0A3C"/>
    <w:rsid w:val="20AE2FE6"/>
    <w:rsid w:val="20B9399F"/>
    <w:rsid w:val="20C56551"/>
    <w:rsid w:val="20D65FDF"/>
    <w:rsid w:val="20E3645C"/>
    <w:rsid w:val="20E765ED"/>
    <w:rsid w:val="20F43AD1"/>
    <w:rsid w:val="20F73191"/>
    <w:rsid w:val="20FC3541"/>
    <w:rsid w:val="20FF1092"/>
    <w:rsid w:val="21056B7A"/>
    <w:rsid w:val="210668C5"/>
    <w:rsid w:val="21091A1E"/>
    <w:rsid w:val="211F7986"/>
    <w:rsid w:val="212C5C64"/>
    <w:rsid w:val="212D49A1"/>
    <w:rsid w:val="21303941"/>
    <w:rsid w:val="213F3252"/>
    <w:rsid w:val="2154560B"/>
    <w:rsid w:val="216644AF"/>
    <w:rsid w:val="217E5160"/>
    <w:rsid w:val="219F63D1"/>
    <w:rsid w:val="21A734D8"/>
    <w:rsid w:val="21A76788"/>
    <w:rsid w:val="21B53EA5"/>
    <w:rsid w:val="21BE2CFB"/>
    <w:rsid w:val="21D4591D"/>
    <w:rsid w:val="21E14A75"/>
    <w:rsid w:val="21F26EE5"/>
    <w:rsid w:val="21FC7971"/>
    <w:rsid w:val="21FE7A7F"/>
    <w:rsid w:val="220731ED"/>
    <w:rsid w:val="22092210"/>
    <w:rsid w:val="22100E16"/>
    <w:rsid w:val="22106286"/>
    <w:rsid w:val="22221C8A"/>
    <w:rsid w:val="22274D44"/>
    <w:rsid w:val="222B7D18"/>
    <w:rsid w:val="222D7E81"/>
    <w:rsid w:val="223E553B"/>
    <w:rsid w:val="22403F6C"/>
    <w:rsid w:val="22450DA6"/>
    <w:rsid w:val="225146C1"/>
    <w:rsid w:val="2253637F"/>
    <w:rsid w:val="22617E6A"/>
    <w:rsid w:val="22623FCE"/>
    <w:rsid w:val="22767D40"/>
    <w:rsid w:val="22883309"/>
    <w:rsid w:val="22947F00"/>
    <w:rsid w:val="22A209B8"/>
    <w:rsid w:val="22C00CF5"/>
    <w:rsid w:val="22C12CE9"/>
    <w:rsid w:val="22C51682"/>
    <w:rsid w:val="22CA1B74"/>
    <w:rsid w:val="22D838CC"/>
    <w:rsid w:val="22DC648B"/>
    <w:rsid w:val="22FC3229"/>
    <w:rsid w:val="22FF35CB"/>
    <w:rsid w:val="230B325A"/>
    <w:rsid w:val="231134BB"/>
    <w:rsid w:val="23166B67"/>
    <w:rsid w:val="231D6147"/>
    <w:rsid w:val="23266752"/>
    <w:rsid w:val="233177BD"/>
    <w:rsid w:val="234D5C31"/>
    <w:rsid w:val="23667BFA"/>
    <w:rsid w:val="236C7BED"/>
    <w:rsid w:val="236D7858"/>
    <w:rsid w:val="23755D88"/>
    <w:rsid w:val="239D4B92"/>
    <w:rsid w:val="23A064E3"/>
    <w:rsid w:val="23AB341A"/>
    <w:rsid w:val="23B00D6A"/>
    <w:rsid w:val="23BA3ACB"/>
    <w:rsid w:val="23C74B11"/>
    <w:rsid w:val="23C955A8"/>
    <w:rsid w:val="23D226FB"/>
    <w:rsid w:val="23D64262"/>
    <w:rsid w:val="23E15EEF"/>
    <w:rsid w:val="23E822B1"/>
    <w:rsid w:val="23EE3640"/>
    <w:rsid w:val="23EE53EE"/>
    <w:rsid w:val="24030E99"/>
    <w:rsid w:val="240370EB"/>
    <w:rsid w:val="240572B4"/>
    <w:rsid w:val="24080637"/>
    <w:rsid w:val="242C7606"/>
    <w:rsid w:val="242E0ADD"/>
    <w:rsid w:val="24331A70"/>
    <w:rsid w:val="244A2F6C"/>
    <w:rsid w:val="24577437"/>
    <w:rsid w:val="247459D9"/>
    <w:rsid w:val="24917051"/>
    <w:rsid w:val="24920E4D"/>
    <w:rsid w:val="24AA3A0B"/>
    <w:rsid w:val="24BF6C72"/>
    <w:rsid w:val="24D42091"/>
    <w:rsid w:val="24D720E8"/>
    <w:rsid w:val="24D972C5"/>
    <w:rsid w:val="24DC4B11"/>
    <w:rsid w:val="24E276EE"/>
    <w:rsid w:val="24E76A0D"/>
    <w:rsid w:val="24EC5DD1"/>
    <w:rsid w:val="250F1AC0"/>
    <w:rsid w:val="252F7103"/>
    <w:rsid w:val="25344B23"/>
    <w:rsid w:val="2536704D"/>
    <w:rsid w:val="255D282B"/>
    <w:rsid w:val="2564005E"/>
    <w:rsid w:val="256C3652"/>
    <w:rsid w:val="25717107"/>
    <w:rsid w:val="257858B7"/>
    <w:rsid w:val="257B6B20"/>
    <w:rsid w:val="25833A63"/>
    <w:rsid w:val="25850C3A"/>
    <w:rsid w:val="25893A50"/>
    <w:rsid w:val="25902155"/>
    <w:rsid w:val="25A24A04"/>
    <w:rsid w:val="25AC00D1"/>
    <w:rsid w:val="25B53E66"/>
    <w:rsid w:val="25C12E06"/>
    <w:rsid w:val="25C22D2B"/>
    <w:rsid w:val="25CD0B0A"/>
    <w:rsid w:val="25D733A9"/>
    <w:rsid w:val="25E728EC"/>
    <w:rsid w:val="25F144D0"/>
    <w:rsid w:val="260875AE"/>
    <w:rsid w:val="261C2A83"/>
    <w:rsid w:val="261D023E"/>
    <w:rsid w:val="26243349"/>
    <w:rsid w:val="26303B37"/>
    <w:rsid w:val="26396DF4"/>
    <w:rsid w:val="263C0693"/>
    <w:rsid w:val="263D105E"/>
    <w:rsid w:val="264F6618"/>
    <w:rsid w:val="265830CF"/>
    <w:rsid w:val="26783DAF"/>
    <w:rsid w:val="26941C81"/>
    <w:rsid w:val="26A00648"/>
    <w:rsid w:val="26B47EA0"/>
    <w:rsid w:val="26BC41CD"/>
    <w:rsid w:val="26C40F4A"/>
    <w:rsid w:val="26C72306"/>
    <w:rsid w:val="26DC5CA7"/>
    <w:rsid w:val="26DE799C"/>
    <w:rsid w:val="26E44F7F"/>
    <w:rsid w:val="26E81F04"/>
    <w:rsid w:val="26EA614F"/>
    <w:rsid w:val="26F56F6A"/>
    <w:rsid w:val="26F96584"/>
    <w:rsid w:val="2713495A"/>
    <w:rsid w:val="27191D75"/>
    <w:rsid w:val="272C0707"/>
    <w:rsid w:val="27311B93"/>
    <w:rsid w:val="27382820"/>
    <w:rsid w:val="27687549"/>
    <w:rsid w:val="276A58A5"/>
    <w:rsid w:val="27787DF0"/>
    <w:rsid w:val="279E28E9"/>
    <w:rsid w:val="27B23302"/>
    <w:rsid w:val="27C105AE"/>
    <w:rsid w:val="27C92F10"/>
    <w:rsid w:val="27CC0EF2"/>
    <w:rsid w:val="27DB6617"/>
    <w:rsid w:val="27DE1DFF"/>
    <w:rsid w:val="27E51536"/>
    <w:rsid w:val="27E83399"/>
    <w:rsid w:val="27F332EE"/>
    <w:rsid w:val="27FB269A"/>
    <w:rsid w:val="2802140A"/>
    <w:rsid w:val="28611659"/>
    <w:rsid w:val="28631A55"/>
    <w:rsid w:val="28706D19"/>
    <w:rsid w:val="287D21FE"/>
    <w:rsid w:val="287D6A55"/>
    <w:rsid w:val="28A43E8F"/>
    <w:rsid w:val="28C05087"/>
    <w:rsid w:val="28C44E41"/>
    <w:rsid w:val="28CF575D"/>
    <w:rsid w:val="28DC314A"/>
    <w:rsid w:val="28EC5CE7"/>
    <w:rsid w:val="290B5E09"/>
    <w:rsid w:val="29141678"/>
    <w:rsid w:val="291565C9"/>
    <w:rsid w:val="293C5AEC"/>
    <w:rsid w:val="297426C2"/>
    <w:rsid w:val="297E3F21"/>
    <w:rsid w:val="298C22CD"/>
    <w:rsid w:val="299F4BE7"/>
    <w:rsid w:val="29DB1BF4"/>
    <w:rsid w:val="29F17415"/>
    <w:rsid w:val="29F36892"/>
    <w:rsid w:val="2A097DB4"/>
    <w:rsid w:val="2A0D3989"/>
    <w:rsid w:val="2A7273EF"/>
    <w:rsid w:val="2A766B21"/>
    <w:rsid w:val="2A870159"/>
    <w:rsid w:val="2A8B684F"/>
    <w:rsid w:val="2AAD6003"/>
    <w:rsid w:val="2AB15E11"/>
    <w:rsid w:val="2AB648CF"/>
    <w:rsid w:val="2AC80319"/>
    <w:rsid w:val="2ACE4B9D"/>
    <w:rsid w:val="2AD476E1"/>
    <w:rsid w:val="2AD859DC"/>
    <w:rsid w:val="2AE17BF2"/>
    <w:rsid w:val="2B0B2D29"/>
    <w:rsid w:val="2B32641C"/>
    <w:rsid w:val="2B347677"/>
    <w:rsid w:val="2B3B1941"/>
    <w:rsid w:val="2B3E50BB"/>
    <w:rsid w:val="2B6366C1"/>
    <w:rsid w:val="2B845250"/>
    <w:rsid w:val="2B995746"/>
    <w:rsid w:val="2B9D103D"/>
    <w:rsid w:val="2BA309D9"/>
    <w:rsid w:val="2BCB36F3"/>
    <w:rsid w:val="2BD67E95"/>
    <w:rsid w:val="2C044C56"/>
    <w:rsid w:val="2C180F2B"/>
    <w:rsid w:val="2C1D781A"/>
    <w:rsid w:val="2C340407"/>
    <w:rsid w:val="2C3A1B18"/>
    <w:rsid w:val="2C424471"/>
    <w:rsid w:val="2C4B7881"/>
    <w:rsid w:val="2C576226"/>
    <w:rsid w:val="2C6B5B70"/>
    <w:rsid w:val="2C7B493C"/>
    <w:rsid w:val="2C7E52A0"/>
    <w:rsid w:val="2C844B41"/>
    <w:rsid w:val="2C8A6AA3"/>
    <w:rsid w:val="2C8B3FEE"/>
    <w:rsid w:val="2C924D92"/>
    <w:rsid w:val="2C9771B7"/>
    <w:rsid w:val="2C9C632F"/>
    <w:rsid w:val="2C9E534E"/>
    <w:rsid w:val="2CB15C7F"/>
    <w:rsid w:val="2CC31B0E"/>
    <w:rsid w:val="2CCE600A"/>
    <w:rsid w:val="2CE76D85"/>
    <w:rsid w:val="2CED7BB5"/>
    <w:rsid w:val="2CFC76AD"/>
    <w:rsid w:val="2D0B5263"/>
    <w:rsid w:val="2D0D0FDB"/>
    <w:rsid w:val="2D0D23A6"/>
    <w:rsid w:val="2D185BEA"/>
    <w:rsid w:val="2D2A393B"/>
    <w:rsid w:val="2D3915E1"/>
    <w:rsid w:val="2D3E2F42"/>
    <w:rsid w:val="2D4E5DF8"/>
    <w:rsid w:val="2D563BC5"/>
    <w:rsid w:val="2D6329A9"/>
    <w:rsid w:val="2D6C3F53"/>
    <w:rsid w:val="2D7519DF"/>
    <w:rsid w:val="2D844A56"/>
    <w:rsid w:val="2D964B2C"/>
    <w:rsid w:val="2DA7482A"/>
    <w:rsid w:val="2DAE0EBA"/>
    <w:rsid w:val="2DDF5C3D"/>
    <w:rsid w:val="2DF53F49"/>
    <w:rsid w:val="2DF91807"/>
    <w:rsid w:val="2E00100E"/>
    <w:rsid w:val="2E133665"/>
    <w:rsid w:val="2E19262B"/>
    <w:rsid w:val="2E2152C8"/>
    <w:rsid w:val="2E2248EC"/>
    <w:rsid w:val="2E236314"/>
    <w:rsid w:val="2E364E2D"/>
    <w:rsid w:val="2E41529E"/>
    <w:rsid w:val="2E5F5866"/>
    <w:rsid w:val="2E642E7C"/>
    <w:rsid w:val="2E786928"/>
    <w:rsid w:val="2E7F65AD"/>
    <w:rsid w:val="2E8B0409"/>
    <w:rsid w:val="2E8B0630"/>
    <w:rsid w:val="2E96384B"/>
    <w:rsid w:val="2EB517F8"/>
    <w:rsid w:val="2EC4391B"/>
    <w:rsid w:val="2ED52EBC"/>
    <w:rsid w:val="2ED7364E"/>
    <w:rsid w:val="2EDC5C10"/>
    <w:rsid w:val="2EEF628E"/>
    <w:rsid w:val="2EFA3401"/>
    <w:rsid w:val="2F083403"/>
    <w:rsid w:val="2F1E07E0"/>
    <w:rsid w:val="2F234AE5"/>
    <w:rsid w:val="2F2C6174"/>
    <w:rsid w:val="2F2D326E"/>
    <w:rsid w:val="2F31184B"/>
    <w:rsid w:val="2F340AA1"/>
    <w:rsid w:val="2F3D7961"/>
    <w:rsid w:val="2F574888"/>
    <w:rsid w:val="2F5816BA"/>
    <w:rsid w:val="2F5C1340"/>
    <w:rsid w:val="2F5C7FF7"/>
    <w:rsid w:val="2F6219CF"/>
    <w:rsid w:val="2F68074A"/>
    <w:rsid w:val="2F833124"/>
    <w:rsid w:val="2F884949"/>
    <w:rsid w:val="2F936A4E"/>
    <w:rsid w:val="2F95078F"/>
    <w:rsid w:val="2FA015DA"/>
    <w:rsid w:val="2FB716BC"/>
    <w:rsid w:val="2FC00330"/>
    <w:rsid w:val="2FC51FB1"/>
    <w:rsid w:val="2FD60848"/>
    <w:rsid w:val="2FD86E9B"/>
    <w:rsid w:val="2FD944DB"/>
    <w:rsid w:val="2FF13B1E"/>
    <w:rsid w:val="2FF40230"/>
    <w:rsid w:val="2FF973D9"/>
    <w:rsid w:val="301C4FC9"/>
    <w:rsid w:val="3023045A"/>
    <w:rsid w:val="30262DA9"/>
    <w:rsid w:val="30607673"/>
    <w:rsid w:val="30631342"/>
    <w:rsid w:val="306453B6"/>
    <w:rsid w:val="306B099C"/>
    <w:rsid w:val="30717AD3"/>
    <w:rsid w:val="3073716F"/>
    <w:rsid w:val="307D0225"/>
    <w:rsid w:val="308D15CC"/>
    <w:rsid w:val="308D49C9"/>
    <w:rsid w:val="30936254"/>
    <w:rsid w:val="309F3C87"/>
    <w:rsid w:val="30B548C0"/>
    <w:rsid w:val="30C73213"/>
    <w:rsid w:val="30D73F61"/>
    <w:rsid w:val="30F50609"/>
    <w:rsid w:val="30FA4918"/>
    <w:rsid w:val="31024CF2"/>
    <w:rsid w:val="31052FA1"/>
    <w:rsid w:val="310F183A"/>
    <w:rsid w:val="311F12DD"/>
    <w:rsid w:val="31291BEE"/>
    <w:rsid w:val="313A7EC4"/>
    <w:rsid w:val="3142497E"/>
    <w:rsid w:val="314B6706"/>
    <w:rsid w:val="31542FFC"/>
    <w:rsid w:val="31556AAC"/>
    <w:rsid w:val="315A40C3"/>
    <w:rsid w:val="31695025"/>
    <w:rsid w:val="316D3EC4"/>
    <w:rsid w:val="317E4859"/>
    <w:rsid w:val="3191058A"/>
    <w:rsid w:val="31924D92"/>
    <w:rsid w:val="319D0FFC"/>
    <w:rsid w:val="31AA07B4"/>
    <w:rsid w:val="31AD0696"/>
    <w:rsid w:val="31C0661C"/>
    <w:rsid w:val="31CC4FC0"/>
    <w:rsid w:val="31DB5B1B"/>
    <w:rsid w:val="31EA48B4"/>
    <w:rsid w:val="31EE13DB"/>
    <w:rsid w:val="31F12C79"/>
    <w:rsid w:val="32056724"/>
    <w:rsid w:val="32106753"/>
    <w:rsid w:val="321903A0"/>
    <w:rsid w:val="321A15D6"/>
    <w:rsid w:val="321D6CE0"/>
    <w:rsid w:val="322832D9"/>
    <w:rsid w:val="323472F0"/>
    <w:rsid w:val="323B0398"/>
    <w:rsid w:val="32425283"/>
    <w:rsid w:val="3248507A"/>
    <w:rsid w:val="324A2A66"/>
    <w:rsid w:val="32527BFC"/>
    <w:rsid w:val="32586854"/>
    <w:rsid w:val="325C3114"/>
    <w:rsid w:val="325E6D18"/>
    <w:rsid w:val="32607DFF"/>
    <w:rsid w:val="32643B50"/>
    <w:rsid w:val="32672F3B"/>
    <w:rsid w:val="32695A0B"/>
    <w:rsid w:val="326D73A0"/>
    <w:rsid w:val="327A0EC0"/>
    <w:rsid w:val="32821FC4"/>
    <w:rsid w:val="32822E26"/>
    <w:rsid w:val="32834602"/>
    <w:rsid w:val="32857368"/>
    <w:rsid w:val="328A6C2A"/>
    <w:rsid w:val="328D0055"/>
    <w:rsid w:val="328E3BC4"/>
    <w:rsid w:val="329D4BAF"/>
    <w:rsid w:val="32B50F73"/>
    <w:rsid w:val="32B90F64"/>
    <w:rsid w:val="32BC4ADD"/>
    <w:rsid w:val="32D83E39"/>
    <w:rsid w:val="32DB21CB"/>
    <w:rsid w:val="32E252FC"/>
    <w:rsid w:val="32EA4A62"/>
    <w:rsid w:val="33087F73"/>
    <w:rsid w:val="330E7C2A"/>
    <w:rsid w:val="331A1D5C"/>
    <w:rsid w:val="33214CD1"/>
    <w:rsid w:val="33286F73"/>
    <w:rsid w:val="332B21BB"/>
    <w:rsid w:val="33356B95"/>
    <w:rsid w:val="3343559E"/>
    <w:rsid w:val="334B0167"/>
    <w:rsid w:val="33555699"/>
    <w:rsid w:val="336D3266"/>
    <w:rsid w:val="337E0743"/>
    <w:rsid w:val="33843B71"/>
    <w:rsid w:val="338517BE"/>
    <w:rsid w:val="338D3C09"/>
    <w:rsid w:val="339451D9"/>
    <w:rsid w:val="3396590A"/>
    <w:rsid w:val="33A76D5D"/>
    <w:rsid w:val="33C833B1"/>
    <w:rsid w:val="33DD64A8"/>
    <w:rsid w:val="33E02FA5"/>
    <w:rsid w:val="33E83C08"/>
    <w:rsid w:val="33EA0FC1"/>
    <w:rsid w:val="33F40CA7"/>
    <w:rsid w:val="34027FFA"/>
    <w:rsid w:val="341267E8"/>
    <w:rsid w:val="3416085D"/>
    <w:rsid w:val="34237FD8"/>
    <w:rsid w:val="343910CD"/>
    <w:rsid w:val="3442078C"/>
    <w:rsid w:val="34451E49"/>
    <w:rsid w:val="34594B05"/>
    <w:rsid w:val="34880D58"/>
    <w:rsid w:val="349233D7"/>
    <w:rsid w:val="34A508F6"/>
    <w:rsid w:val="34B54E13"/>
    <w:rsid w:val="34D56C00"/>
    <w:rsid w:val="34D80120"/>
    <w:rsid w:val="34DC39D1"/>
    <w:rsid w:val="34DE7D3B"/>
    <w:rsid w:val="34F36D08"/>
    <w:rsid w:val="35067880"/>
    <w:rsid w:val="35094E4A"/>
    <w:rsid w:val="3516349A"/>
    <w:rsid w:val="35474120"/>
    <w:rsid w:val="354854AF"/>
    <w:rsid w:val="35490860"/>
    <w:rsid w:val="355D7032"/>
    <w:rsid w:val="3575596F"/>
    <w:rsid w:val="359A53D6"/>
    <w:rsid w:val="359C73A0"/>
    <w:rsid w:val="35CC2544"/>
    <w:rsid w:val="35D02091"/>
    <w:rsid w:val="35E93C67"/>
    <w:rsid w:val="35F850AC"/>
    <w:rsid w:val="35FB5B12"/>
    <w:rsid w:val="36010FB1"/>
    <w:rsid w:val="3612310E"/>
    <w:rsid w:val="361679EA"/>
    <w:rsid w:val="361A6F31"/>
    <w:rsid w:val="36257888"/>
    <w:rsid w:val="36274FEC"/>
    <w:rsid w:val="36320681"/>
    <w:rsid w:val="363C7BEA"/>
    <w:rsid w:val="364D5942"/>
    <w:rsid w:val="365A7F9B"/>
    <w:rsid w:val="36661D08"/>
    <w:rsid w:val="36797868"/>
    <w:rsid w:val="367C48AF"/>
    <w:rsid w:val="367F4320"/>
    <w:rsid w:val="369146CC"/>
    <w:rsid w:val="369340F0"/>
    <w:rsid w:val="36935B51"/>
    <w:rsid w:val="3699743B"/>
    <w:rsid w:val="369D1D15"/>
    <w:rsid w:val="36AD2ED8"/>
    <w:rsid w:val="36B7236E"/>
    <w:rsid w:val="36BD4910"/>
    <w:rsid w:val="36C546D5"/>
    <w:rsid w:val="36D97016"/>
    <w:rsid w:val="36E64C78"/>
    <w:rsid w:val="36E94D26"/>
    <w:rsid w:val="36EB2C9D"/>
    <w:rsid w:val="36F206C0"/>
    <w:rsid w:val="36FB7794"/>
    <w:rsid w:val="37081B1F"/>
    <w:rsid w:val="375A2153"/>
    <w:rsid w:val="376D2DA2"/>
    <w:rsid w:val="377150F1"/>
    <w:rsid w:val="37763EDD"/>
    <w:rsid w:val="37841E99"/>
    <w:rsid w:val="379408A3"/>
    <w:rsid w:val="379B09FA"/>
    <w:rsid w:val="379E11AD"/>
    <w:rsid w:val="37A84621"/>
    <w:rsid w:val="37AD347F"/>
    <w:rsid w:val="37AD4A7D"/>
    <w:rsid w:val="37D2266D"/>
    <w:rsid w:val="37D4516A"/>
    <w:rsid w:val="37DC2E64"/>
    <w:rsid w:val="37EC7230"/>
    <w:rsid w:val="38016397"/>
    <w:rsid w:val="38086A85"/>
    <w:rsid w:val="380B6072"/>
    <w:rsid w:val="381C6576"/>
    <w:rsid w:val="383B6C22"/>
    <w:rsid w:val="38415FDC"/>
    <w:rsid w:val="38462667"/>
    <w:rsid w:val="384654A8"/>
    <w:rsid w:val="38474189"/>
    <w:rsid w:val="384D2BD3"/>
    <w:rsid w:val="385A14FE"/>
    <w:rsid w:val="38612777"/>
    <w:rsid w:val="38776533"/>
    <w:rsid w:val="387B329C"/>
    <w:rsid w:val="387D4D8D"/>
    <w:rsid w:val="38926E8A"/>
    <w:rsid w:val="389E51DD"/>
    <w:rsid w:val="389F5EB8"/>
    <w:rsid w:val="38A203CA"/>
    <w:rsid w:val="38A70992"/>
    <w:rsid w:val="38C25618"/>
    <w:rsid w:val="38CC3095"/>
    <w:rsid w:val="38D44DA9"/>
    <w:rsid w:val="38DC14F7"/>
    <w:rsid w:val="38E602BD"/>
    <w:rsid w:val="38ED03A5"/>
    <w:rsid w:val="38EE3BF8"/>
    <w:rsid w:val="38F33A6F"/>
    <w:rsid w:val="38FE7A29"/>
    <w:rsid w:val="39011211"/>
    <w:rsid w:val="391767BE"/>
    <w:rsid w:val="39241EEA"/>
    <w:rsid w:val="392456E2"/>
    <w:rsid w:val="39333B77"/>
    <w:rsid w:val="39337686"/>
    <w:rsid w:val="394903CD"/>
    <w:rsid w:val="394F4876"/>
    <w:rsid w:val="3950248D"/>
    <w:rsid w:val="397C6F74"/>
    <w:rsid w:val="397F609E"/>
    <w:rsid w:val="398C3287"/>
    <w:rsid w:val="39B52BD1"/>
    <w:rsid w:val="39CA0ECD"/>
    <w:rsid w:val="39E3559D"/>
    <w:rsid w:val="39E82AEA"/>
    <w:rsid w:val="39EC3D26"/>
    <w:rsid w:val="39F20325"/>
    <w:rsid w:val="39FE0EE6"/>
    <w:rsid w:val="3A0305DF"/>
    <w:rsid w:val="3A03073A"/>
    <w:rsid w:val="3A15327D"/>
    <w:rsid w:val="3A2B3150"/>
    <w:rsid w:val="3A2F6096"/>
    <w:rsid w:val="3A3330BC"/>
    <w:rsid w:val="3A4C59B3"/>
    <w:rsid w:val="3A61657F"/>
    <w:rsid w:val="3AA47EC1"/>
    <w:rsid w:val="3AA96FBC"/>
    <w:rsid w:val="3AAC7CCC"/>
    <w:rsid w:val="3AAE1213"/>
    <w:rsid w:val="3AB64A60"/>
    <w:rsid w:val="3AB90C6C"/>
    <w:rsid w:val="3AD31495"/>
    <w:rsid w:val="3ADD5B0C"/>
    <w:rsid w:val="3AE23F7F"/>
    <w:rsid w:val="3AE50EA1"/>
    <w:rsid w:val="3AF17846"/>
    <w:rsid w:val="3AFF7502"/>
    <w:rsid w:val="3B1D040D"/>
    <w:rsid w:val="3B241410"/>
    <w:rsid w:val="3B245E6D"/>
    <w:rsid w:val="3B36645E"/>
    <w:rsid w:val="3B602C1D"/>
    <w:rsid w:val="3B6174C9"/>
    <w:rsid w:val="3B657EF3"/>
    <w:rsid w:val="3B697D24"/>
    <w:rsid w:val="3B6C6824"/>
    <w:rsid w:val="3B954675"/>
    <w:rsid w:val="3BA342F0"/>
    <w:rsid w:val="3BB0163E"/>
    <w:rsid w:val="3BD639A7"/>
    <w:rsid w:val="3BEF799B"/>
    <w:rsid w:val="3BF43905"/>
    <w:rsid w:val="3BFE2B74"/>
    <w:rsid w:val="3C047258"/>
    <w:rsid w:val="3C057788"/>
    <w:rsid w:val="3C0B4937"/>
    <w:rsid w:val="3C1A101E"/>
    <w:rsid w:val="3C2165AA"/>
    <w:rsid w:val="3C300842"/>
    <w:rsid w:val="3C442C67"/>
    <w:rsid w:val="3C462551"/>
    <w:rsid w:val="3C5666CB"/>
    <w:rsid w:val="3C590615"/>
    <w:rsid w:val="3C5C5193"/>
    <w:rsid w:val="3C8C13E6"/>
    <w:rsid w:val="3CAD0013"/>
    <w:rsid w:val="3CB30BA5"/>
    <w:rsid w:val="3CB33B4E"/>
    <w:rsid w:val="3CC01BC6"/>
    <w:rsid w:val="3CC046A2"/>
    <w:rsid w:val="3CC76CE0"/>
    <w:rsid w:val="3CE84D27"/>
    <w:rsid w:val="3CE9358A"/>
    <w:rsid w:val="3CF1728C"/>
    <w:rsid w:val="3CF415DA"/>
    <w:rsid w:val="3CF624DD"/>
    <w:rsid w:val="3D09609A"/>
    <w:rsid w:val="3D0B3F6C"/>
    <w:rsid w:val="3D0F48FB"/>
    <w:rsid w:val="3D1821FE"/>
    <w:rsid w:val="3D1E069A"/>
    <w:rsid w:val="3D1E4B3E"/>
    <w:rsid w:val="3D2D077E"/>
    <w:rsid w:val="3D31658C"/>
    <w:rsid w:val="3D786F5F"/>
    <w:rsid w:val="3D9B1CEB"/>
    <w:rsid w:val="3DB11AD4"/>
    <w:rsid w:val="3DB84953"/>
    <w:rsid w:val="3DCA470A"/>
    <w:rsid w:val="3DDC1999"/>
    <w:rsid w:val="3DE014A1"/>
    <w:rsid w:val="3E067AAC"/>
    <w:rsid w:val="3E081DDA"/>
    <w:rsid w:val="3E0847CC"/>
    <w:rsid w:val="3E1A60DF"/>
    <w:rsid w:val="3E2F37F2"/>
    <w:rsid w:val="3E3541E5"/>
    <w:rsid w:val="3E37029B"/>
    <w:rsid w:val="3E3D0FF4"/>
    <w:rsid w:val="3E7423E9"/>
    <w:rsid w:val="3E747E4A"/>
    <w:rsid w:val="3E8156FD"/>
    <w:rsid w:val="3E832145"/>
    <w:rsid w:val="3E8C5DC8"/>
    <w:rsid w:val="3E91236D"/>
    <w:rsid w:val="3E932226"/>
    <w:rsid w:val="3E9C3BB7"/>
    <w:rsid w:val="3EBF3958"/>
    <w:rsid w:val="3ED16309"/>
    <w:rsid w:val="3ED203DA"/>
    <w:rsid w:val="3EE90504"/>
    <w:rsid w:val="3EED7657"/>
    <w:rsid w:val="3F0331A0"/>
    <w:rsid w:val="3F073ADC"/>
    <w:rsid w:val="3F097401"/>
    <w:rsid w:val="3F0C0E52"/>
    <w:rsid w:val="3F0C314A"/>
    <w:rsid w:val="3F204B9E"/>
    <w:rsid w:val="3F23785D"/>
    <w:rsid w:val="3F254FA7"/>
    <w:rsid w:val="3F2A77CA"/>
    <w:rsid w:val="3F303FC2"/>
    <w:rsid w:val="3F486576"/>
    <w:rsid w:val="3F68728D"/>
    <w:rsid w:val="3F696EB6"/>
    <w:rsid w:val="3F7131E6"/>
    <w:rsid w:val="3F8F762D"/>
    <w:rsid w:val="3FA97315"/>
    <w:rsid w:val="3FAC01DF"/>
    <w:rsid w:val="3FB6105E"/>
    <w:rsid w:val="3FC21EBA"/>
    <w:rsid w:val="3FD339BE"/>
    <w:rsid w:val="3FD57736"/>
    <w:rsid w:val="3FDC0668"/>
    <w:rsid w:val="3FE0709E"/>
    <w:rsid w:val="3FEE6E28"/>
    <w:rsid w:val="3FF73FB7"/>
    <w:rsid w:val="3FF83425"/>
    <w:rsid w:val="3FFD6511"/>
    <w:rsid w:val="40153791"/>
    <w:rsid w:val="402772DD"/>
    <w:rsid w:val="4047615A"/>
    <w:rsid w:val="404E324B"/>
    <w:rsid w:val="405065B1"/>
    <w:rsid w:val="405368AD"/>
    <w:rsid w:val="40555D6E"/>
    <w:rsid w:val="4057100E"/>
    <w:rsid w:val="405C0E8C"/>
    <w:rsid w:val="40714F85"/>
    <w:rsid w:val="407523A4"/>
    <w:rsid w:val="407E686E"/>
    <w:rsid w:val="40953369"/>
    <w:rsid w:val="409A0980"/>
    <w:rsid w:val="40B73967"/>
    <w:rsid w:val="40B97D06"/>
    <w:rsid w:val="40BA0E60"/>
    <w:rsid w:val="40C00343"/>
    <w:rsid w:val="40C12F8D"/>
    <w:rsid w:val="40C160A0"/>
    <w:rsid w:val="40C61775"/>
    <w:rsid w:val="40D54E4D"/>
    <w:rsid w:val="40EA4019"/>
    <w:rsid w:val="40EB2F9F"/>
    <w:rsid w:val="40F04D7E"/>
    <w:rsid w:val="40F260C6"/>
    <w:rsid w:val="40F849CD"/>
    <w:rsid w:val="40F91DB5"/>
    <w:rsid w:val="40FB3172"/>
    <w:rsid w:val="410302D3"/>
    <w:rsid w:val="410339D7"/>
    <w:rsid w:val="41075D15"/>
    <w:rsid w:val="410858E9"/>
    <w:rsid w:val="413879C7"/>
    <w:rsid w:val="417C108D"/>
    <w:rsid w:val="41816CDC"/>
    <w:rsid w:val="4187281E"/>
    <w:rsid w:val="419C61CD"/>
    <w:rsid w:val="419D4D10"/>
    <w:rsid w:val="41AA571C"/>
    <w:rsid w:val="41B94F1D"/>
    <w:rsid w:val="41C06DDF"/>
    <w:rsid w:val="41CD07B6"/>
    <w:rsid w:val="41CE6B33"/>
    <w:rsid w:val="41DF63CF"/>
    <w:rsid w:val="41E40104"/>
    <w:rsid w:val="41F25DF7"/>
    <w:rsid w:val="41F769C1"/>
    <w:rsid w:val="420A5383"/>
    <w:rsid w:val="420A5DBB"/>
    <w:rsid w:val="420C1FC2"/>
    <w:rsid w:val="421401BF"/>
    <w:rsid w:val="421A4B53"/>
    <w:rsid w:val="42252E9D"/>
    <w:rsid w:val="422D4C04"/>
    <w:rsid w:val="42350960"/>
    <w:rsid w:val="423623C2"/>
    <w:rsid w:val="42381F21"/>
    <w:rsid w:val="4243056B"/>
    <w:rsid w:val="42475D6C"/>
    <w:rsid w:val="42522448"/>
    <w:rsid w:val="42552DC1"/>
    <w:rsid w:val="425973CB"/>
    <w:rsid w:val="425E381F"/>
    <w:rsid w:val="426D0DA2"/>
    <w:rsid w:val="426F40A9"/>
    <w:rsid w:val="427A586D"/>
    <w:rsid w:val="42814E9C"/>
    <w:rsid w:val="42870A90"/>
    <w:rsid w:val="42890EFB"/>
    <w:rsid w:val="428D7077"/>
    <w:rsid w:val="42926CC6"/>
    <w:rsid w:val="429E4757"/>
    <w:rsid w:val="42A17AFC"/>
    <w:rsid w:val="42A40829"/>
    <w:rsid w:val="42AF3129"/>
    <w:rsid w:val="42B27FF2"/>
    <w:rsid w:val="42B571D1"/>
    <w:rsid w:val="42BA720B"/>
    <w:rsid w:val="42BC5406"/>
    <w:rsid w:val="42D662AE"/>
    <w:rsid w:val="42D83BE5"/>
    <w:rsid w:val="42E02626"/>
    <w:rsid w:val="42E5528F"/>
    <w:rsid w:val="43301127"/>
    <w:rsid w:val="43441269"/>
    <w:rsid w:val="434A747F"/>
    <w:rsid w:val="436022DB"/>
    <w:rsid w:val="436E0318"/>
    <w:rsid w:val="4392273B"/>
    <w:rsid w:val="439D67BD"/>
    <w:rsid w:val="43A86F10"/>
    <w:rsid w:val="43B30F2F"/>
    <w:rsid w:val="43DE12EE"/>
    <w:rsid w:val="43F850B9"/>
    <w:rsid w:val="43FC7A96"/>
    <w:rsid w:val="4416031D"/>
    <w:rsid w:val="441A7E0D"/>
    <w:rsid w:val="44254F47"/>
    <w:rsid w:val="44321ED5"/>
    <w:rsid w:val="44380CC6"/>
    <w:rsid w:val="44460A73"/>
    <w:rsid w:val="446B251E"/>
    <w:rsid w:val="446F4684"/>
    <w:rsid w:val="4474119F"/>
    <w:rsid w:val="44771E8B"/>
    <w:rsid w:val="44A81645"/>
    <w:rsid w:val="44D04BAB"/>
    <w:rsid w:val="44D709FA"/>
    <w:rsid w:val="44E15001"/>
    <w:rsid w:val="44EA3FC8"/>
    <w:rsid w:val="44EC03EA"/>
    <w:rsid w:val="44FF5255"/>
    <w:rsid w:val="45025018"/>
    <w:rsid w:val="451C51EF"/>
    <w:rsid w:val="45222911"/>
    <w:rsid w:val="45237196"/>
    <w:rsid w:val="452B7DF8"/>
    <w:rsid w:val="454268F1"/>
    <w:rsid w:val="454E2968"/>
    <w:rsid w:val="455A0AF6"/>
    <w:rsid w:val="45624FE7"/>
    <w:rsid w:val="457E261E"/>
    <w:rsid w:val="457F0236"/>
    <w:rsid w:val="458E6941"/>
    <w:rsid w:val="45951E87"/>
    <w:rsid w:val="45AA25D0"/>
    <w:rsid w:val="45B43C21"/>
    <w:rsid w:val="45D546F5"/>
    <w:rsid w:val="45E121B9"/>
    <w:rsid w:val="45E20266"/>
    <w:rsid w:val="45E7024F"/>
    <w:rsid w:val="45ED5CEE"/>
    <w:rsid w:val="45EF0D55"/>
    <w:rsid w:val="45F1231E"/>
    <w:rsid w:val="4603446F"/>
    <w:rsid w:val="460A10FB"/>
    <w:rsid w:val="46287A7D"/>
    <w:rsid w:val="463B050F"/>
    <w:rsid w:val="464B6403"/>
    <w:rsid w:val="46517B64"/>
    <w:rsid w:val="46551658"/>
    <w:rsid w:val="46747316"/>
    <w:rsid w:val="468D5A0C"/>
    <w:rsid w:val="46B00F72"/>
    <w:rsid w:val="46B30FD0"/>
    <w:rsid w:val="46DB789C"/>
    <w:rsid w:val="46DE7651"/>
    <w:rsid w:val="46F3217A"/>
    <w:rsid w:val="46F9684D"/>
    <w:rsid w:val="47047DD0"/>
    <w:rsid w:val="47213EC9"/>
    <w:rsid w:val="47441C69"/>
    <w:rsid w:val="47576591"/>
    <w:rsid w:val="475C24EB"/>
    <w:rsid w:val="476A63C8"/>
    <w:rsid w:val="47857C94"/>
    <w:rsid w:val="47965810"/>
    <w:rsid w:val="479B6F43"/>
    <w:rsid w:val="479B74B7"/>
    <w:rsid w:val="47A67F81"/>
    <w:rsid w:val="47B75005"/>
    <w:rsid w:val="47BE73FC"/>
    <w:rsid w:val="47C13ED6"/>
    <w:rsid w:val="47D352FD"/>
    <w:rsid w:val="48266FB7"/>
    <w:rsid w:val="4864104F"/>
    <w:rsid w:val="487A4866"/>
    <w:rsid w:val="489108BA"/>
    <w:rsid w:val="489413E3"/>
    <w:rsid w:val="489D65CF"/>
    <w:rsid w:val="48AB372A"/>
    <w:rsid w:val="48CA3155"/>
    <w:rsid w:val="48CA6793"/>
    <w:rsid w:val="48DE1BD5"/>
    <w:rsid w:val="49046A5C"/>
    <w:rsid w:val="490D6193"/>
    <w:rsid w:val="491D6188"/>
    <w:rsid w:val="49227C1A"/>
    <w:rsid w:val="49282FCC"/>
    <w:rsid w:val="493C0826"/>
    <w:rsid w:val="49564747"/>
    <w:rsid w:val="496164DE"/>
    <w:rsid w:val="49654C0F"/>
    <w:rsid w:val="496833C9"/>
    <w:rsid w:val="496D5882"/>
    <w:rsid w:val="49703A35"/>
    <w:rsid w:val="497B376E"/>
    <w:rsid w:val="497B6A38"/>
    <w:rsid w:val="497F6965"/>
    <w:rsid w:val="49823E07"/>
    <w:rsid w:val="49892D65"/>
    <w:rsid w:val="49C6428D"/>
    <w:rsid w:val="49C8030C"/>
    <w:rsid w:val="49CE09CD"/>
    <w:rsid w:val="49D61BFB"/>
    <w:rsid w:val="49E636EC"/>
    <w:rsid w:val="49EA0282"/>
    <w:rsid w:val="49EA64D4"/>
    <w:rsid w:val="49F41270"/>
    <w:rsid w:val="49F90166"/>
    <w:rsid w:val="4A0204B8"/>
    <w:rsid w:val="4A0F4546"/>
    <w:rsid w:val="4A1C2405"/>
    <w:rsid w:val="4A1C4A46"/>
    <w:rsid w:val="4A254D84"/>
    <w:rsid w:val="4A2D3FC2"/>
    <w:rsid w:val="4A331C29"/>
    <w:rsid w:val="4A3D0C38"/>
    <w:rsid w:val="4A4060F4"/>
    <w:rsid w:val="4A433934"/>
    <w:rsid w:val="4A450EF1"/>
    <w:rsid w:val="4A4704D2"/>
    <w:rsid w:val="4A55038B"/>
    <w:rsid w:val="4A9D70A2"/>
    <w:rsid w:val="4AB665A3"/>
    <w:rsid w:val="4AC33EE4"/>
    <w:rsid w:val="4AE62944"/>
    <w:rsid w:val="4AE65BE7"/>
    <w:rsid w:val="4AEE55F3"/>
    <w:rsid w:val="4AF71603"/>
    <w:rsid w:val="4B05246C"/>
    <w:rsid w:val="4B425E9C"/>
    <w:rsid w:val="4B4267C8"/>
    <w:rsid w:val="4B5F3BAB"/>
    <w:rsid w:val="4B631A61"/>
    <w:rsid w:val="4B6B650B"/>
    <w:rsid w:val="4B7342A7"/>
    <w:rsid w:val="4B7748C3"/>
    <w:rsid w:val="4B7C7600"/>
    <w:rsid w:val="4B7F1D4E"/>
    <w:rsid w:val="4B9D4996"/>
    <w:rsid w:val="4BA315C9"/>
    <w:rsid w:val="4BB533F9"/>
    <w:rsid w:val="4BBA0128"/>
    <w:rsid w:val="4BBD401C"/>
    <w:rsid w:val="4BBE71DC"/>
    <w:rsid w:val="4BCB5E91"/>
    <w:rsid w:val="4BD44E1F"/>
    <w:rsid w:val="4BE2468D"/>
    <w:rsid w:val="4C150E03"/>
    <w:rsid w:val="4C1F6E9E"/>
    <w:rsid w:val="4C434755"/>
    <w:rsid w:val="4C5B0FC3"/>
    <w:rsid w:val="4C707486"/>
    <w:rsid w:val="4C777DB1"/>
    <w:rsid w:val="4C7974F9"/>
    <w:rsid w:val="4CA257AF"/>
    <w:rsid w:val="4CA566E2"/>
    <w:rsid w:val="4CAA5AA7"/>
    <w:rsid w:val="4CB1167B"/>
    <w:rsid w:val="4CC40429"/>
    <w:rsid w:val="4CCF550D"/>
    <w:rsid w:val="4CDE1E67"/>
    <w:rsid w:val="4CDE4F11"/>
    <w:rsid w:val="4CE66D72"/>
    <w:rsid w:val="4CE9627A"/>
    <w:rsid w:val="4CEE1E7C"/>
    <w:rsid w:val="4D0D44CB"/>
    <w:rsid w:val="4D163C3E"/>
    <w:rsid w:val="4D3B5D0F"/>
    <w:rsid w:val="4D40026F"/>
    <w:rsid w:val="4D435013"/>
    <w:rsid w:val="4D4B6C12"/>
    <w:rsid w:val="4D52686A"/>
    <w:rsid w:val="4D5D520F"/>
    <w:rsid w:val="4D7165BC"/>
    <w:rsid w:val="4D73562E"/>
    <w:rsid w:val="4D7740DC"/>
    <w:rsid w:val="4D7B7443"/>
    <w:rsid w:val="4D7F3F1E"/>
    <w:rsid w:val="4D8C7D44"/>
    <w:rsid w:val="4DA16EA9"/>
    <w:rsid w:val="4DC84E5D"/>
    <w:rsid w:val="4DCA5F72"/>
    <w:rsid w:val="4DF76AE3"/>
    <w:rsid w:val="4DFC0584"/>
    <w:rsid w:val="4E0F66C3"/>
    <w:rsid w:val="4E1259D4"/>
    <w:rsid w:val="4E125E21"/>
    <w:rsid w:val="4E1C0507"/>
    <w:rsid w:val="4E2842D0"/>
    <w:rsid w:val="4E301D73"/>
    <w:rsid w:val="4E4C150B"/>
    <w:rsid w:val="4E4D4394"/>
    <w:rsid w:val="4E656129"/>
    <w:rsid w:val="4E740A3B"/>
    <w:rsid w:val="4E760336"/>
    <w:rsid w:val="4E8C06FB"/>
    <w:rsid w:val="4E964CAD"/>
    <w:rsid w:val="4E977BBA"/>
    <w:rsid w:val="4E9E662E"/>
    <w:rsid w:val="4EA056A9"/>
    <w:rsid w:val="4EA23897"/>
    <w:rsid w:val="4EAC68FA"/>
    <w:rsid w:val="4EAF3848"/>
    <w:rsid w:val="4ED137BE"/>
    <w:rsid w:val="4ED2498C"/>
    <w:rsid w:val="4EDA4744"/>
    <w:rsid w:val="4EE2777A"/>
    <w:rsid w:val="4EF96278"/>
    <w:rsid w:val="4F05790C"/>
    <w:rsid w:val="4F0F2539"/>
    <w:rsid w:val="4F1A33B7"/>
    <w:rsid w:val="4F1E2A7B"/>
    <w:rsid w:val="4F234ED1"/>
    <w:rsid w:val="4F245FE4"/>
    <w:rsid w:val="4F50251B"/>
    <w:rsid w:val="4F5434AE"/>
    <w:rsid w:val="4F564B0B"/>
    <w:rsid w:val="4F672C12"/>
    <w:rsid w:val="4F674123"/>
    <w:rsid w:val="4F6B3C13"/>
    <w:rsid w:val="4F7B0BB9"/>
    <w:rsid w:val="4F8F1B3D"/>
    <w:rsid w:val="4F954BE1"/>
    <w:rsid w:val="4F990386"/>
    <w:rsid w:val="4FC11A85"/>
    <w:rsid w:val="4FC5428C"/>
    <w:rsid w:val="4FCD6771"/>
    <w:rsid w:val="4FD02F23"/>
    <w:rsid w:val="4FEA39E8"/>
    <w:rsid w:val="4FF376C2"/>
    <w:rsid w:val="50013973"/>
    <w:rsid w:val="50065FB1"/>
    <w:rsid w:val="501A3D68"/>
    <w:rsid w:val="501F70B7"/>
    <w:rsid w:val="504A1A7A"/>
    <w:rsid w:val="504C5227"/>
    <w:rsid w:val="5052092F"/>
    <w:rsid w:val="505F63E3"/>
    <w:rsid w:val="5066262C"/>
    <w:rsid w:val="509B0AD9"/>
    <w:rsid w:val="50A8054F"/>
    <w:rsid w:val="50AA42C7"/>
    <w:rsid w:val="50B02961"/>
    <w:rsid w:val="50C866AA"/>
    <w:rsid w:val="50DC164C"/>
    <w:rsid w:val="50DC4C8A"/>
    <w:rsid w:val="50E21C1C"/>
    <w:rsid w:val="50E512B9"/>
    <w:rsid w:val="50EF6964"/>
    <w:rsid w:val="50F1639A"/>
    <w:rsid w:val="50F171D4"/>
    <w:rsid w:val="510065DD"/>
    <w:rsid w:val="51134562"/>
    <w:rsid w:val="511F0D8E"/>
    <w:rsid w:val="51340035"/>
    <w:rsid w:val="513714F7"/>
    <w:rsid w:val="5139087E"/>
    <w:rsid w:val="51431DF8"/>
    <w:rsid w:val="51536EE0"/>
    <w:rsid w:val="51AE26BC"/>
    <w:rsid w:val="51C635F9"/>
    <w:rsid w:val="51CE5807"/>
    <w:rsid w:val="51D04201"/>
    <w:rsid w:val="51D52940"/>
    <w:rsid w:val="51DF0366"/>
    <w:rsid w:val="51E101BC"/>
    <w:rsid w:val="52073A02"/>
    <w:rsid w:val="52140592"/>
    <w:rsid w:val="522B4F1F"/>
    <w:rsid w:val="5249383B"/>
    <w:rsid w:val="526C4D2E"/>
    <w:rsid w:val="526E0491"/>
    <w:rsid w:val="526E1A25"/>
    <w:rsid w:val="527A324D"/>
    <w:rsid w:val="528D1ECB"/>
    <w:rsid w:val="52AF3FE4"/>
    <w:rsid w:val="52BC3222"/>
    <w:rsid w:val="52BC78D9"/>
    <w:rsid w:val="52CB1DA8"/>
    <w:rsid w:val="52D5298B"/>
    <w:rsid w:val="52D95337"/>
    <w:rsid w:val="52DB720A"/>
    <w:rsid w:val="52E00474"/>
    <w:rsid w:val="53094079"/>
    <w:rsid w:val="5322283B"/>
    <w:rsid w:val="532F6D06"/>
    <w:rsid w:val="53536E98"/>
    <w:rsid w:val="53563658"/>
    <w:rsid w:val="5358625C"/>
    <w:rsid w:val="53650979"/>
    <w:rsid w:val="536F2B64"/>
    <w:rsid w:val="536F483D"/>
    <w:rsid w:val="53715E0C"/>
    <w:rsid w:val="538C2F28"/>
    <w:rsid w:val="539D0113"/>
    <w:rsid w:val="53A22425"/>
    <w:rsid w:val="53A63401"/>
    <w:rsid w:val="53AE0572"/>
    <w:rsid w:val="53C64FBF"/>
    <w:rsid w:val="53F4459D"/>
    <w:rsid w:val="541A0B61"/>
    <w:rsid w:val="542A35A6"/>
    <w:rsid w:val="544559FA"/>
    <w:rsid w:val="544B5DC1"/>
    <w:rsid w:val="54513C93"/>
    <w:rsid w:val="54741CA7"/>
    <w:rsid w:val="54754C98"/>
    <w:rsid w:val="54860FA1"/>
    <w:rsid w:val="548B0C7D"/>
    <w:rsid w:val="548B73BA"/>
    <w:rsid w:val="54921C42"/>
    <w:rsid w:val="54B849E4"/>
    <w:rsid w:val="54C86F20"/>
    <w:rsid w:val="54CC36B2"/>
    <w:rsid w:val="54EA382C"/>
    <w:rsid w:val="54EA7E61"/>
    <w:rsid w:val="54EF18DE"/>
    <w:rsid w:val="54F55D2D"/>
    <w:rsid w:val="5507618C"/>
    <w:rsid w:val="55100F3D"/>
    <w:rsid w:val="55102B67"/>
    <w:rsid w:val="551A222C"/>
    <w:rsid w:val="551C77D2"/>
    <w:rsid w:val="5522368E"/>
    <w:rsid w:val="553D1FD7"/>
    <w:rsid w:val="554636FD"/>
    <w:rsid w:val="554C3B9F"/>
    <w:rsid w:val="5563056F"/>
    <w:rsid w:val="5573455E"/>
    <w:rsid w:val="55792BFF"/>
    <w:rsid w:val="557D3138"/>
    <w:rsid w:val="55820D2C"/>
    <w:rsid w:val="55915A56"/>
    <w:rsid w:val="559A7A46"/>
    <w:rsid w:val="55A45A9F"/>
    <w:rsid w:val="55A932CB"/>
    <w:rsid w:val="55AA7FF4"/>
    <w:rsid w:val="55BB3F63"/>
    <w:rsid w:val="55BC32A6"/>
    <w:rsid w:val="55E04A92"/>
    <w:rsid w:val="55FB7DB6"/>
    <w:rsid w:val="56217422"/>
    <w:rsid w:val="562C1FA2"/>
    <w:rsid w:val="562C228F"/>
    <w:rsid w:val="56322185"/>
    <w:rsid w:val="563F579E"/>
    <w:rsid w:val="565F1805"/>
    <w:rsid w:val="56657940"/>
    <w:rsid w:val="567333AD"/>
    <w:rsid w:val="567B1BC0"/>
    <w:rsid w:val="567C24C2"/>
    <w:rsid w:val="56813D1C"/>
    <w:rsid w:val="568F2CA3"/>
    <w:rsid w:val="569E48CE"/>
    <w:rsid w:val="569F53FE"/>
    <w:rsid w:val="56A135C0"/>
    <w:rsid w:val="56C40559"/>
    <w:rsid w:val="56CF5DC1"/>
    <w:rsid w:val="56D00E98"/>
    <w:rsid w:val="56D274B5"/>
    <w:rsid w:val="56D701D6"/>
    <w:rsid w:val="56DB6038"/>
    <w:rsid w:val="56E322E1"/>
    <w:rsid w:val="570E717E"/>
    <w:rsid w:val="571526B6"/>
    <w:rsid w:val="57324EB7"/>
    <w:rsid w:val="5741354C"/>
    <w:rsid w:val="57571A87"/>
    <w:rsid w:val="577B4C0F"/>
    <w:rsid w:val="577D0917"/>
    <w:rsid w:val="57831D16"/>
    <w:rsid w:val="58030761"/>
    <w:rsid w:val="58043DEC"/>
    <w:rsid w:val="58047A2A"/>
    <w:rsid w:val="580A4EAB"/>
    <w:rsid w:val="5811020F"/>
    <w:rsid w:val="58127656"/>
    <w:rsid w:val="5813309A"/>
    <w:rsid w:val="582153F0"/>
    <w:rsid w:val="583848AE"/>
    <w:rsid w:val="58557C07"/>
    <w:rsid w:val="585605BC"/>
    <w:rsid w:val="587D0513"/>
    <w:rsid w:val="5886386C"/>
    <w:rsid w:val="589A10C5"/>
    <w:rsid w:val="589C09B9"/>
    <w:rsid w:val="589F481B"/>
    <w:rsid w:val="58A46B3B"/>
    <w:rsid w:val="58B945EC"/>
    <w:rsid w:val="58BC54DF"/>
    <w:rsid w:val="58CC00AC"/>
    <w:rsid w:val="58D323BE"/>
    <w:rsid w:val="58EE4DF0"/>
    <w:rsid w:val="5905624B"/>
    <w:rsid w:val="59154BEF"/>
    <w:rsid w:val="591C400C"/>
    <w:rsid w:val="592136CE"/>
    <w:rsid w:val="592310BA"/>
    <w:rsid w:val="592F7F53"/>
    <w:rsid w:val="593218D5"/>
    <w:rsid w:val="59345076"/>
    <w:rsid w:val="59362D4C"/>
    <w:rsid w:val="59415A4D"/>
    <w:rsid w:val="59452954"/>
    <w:rsid w:val="5955555F"/>
    <w:rsid w:val="596E7497"/>
    <w:rsid w:val="597B15E1"/>
    <w:rsid w:val="5997265A"/>
    <w:rsid w:val="599D23BE"/>
    <w:rsid w:val="59A67E19"/>
    <w:rsid w:val="59AD3CB3"/>
    <w:rsid w:val="59CB57C7"/>
    <w:rsid w:val="59CC52AE"/>
    <w:rsid w:val="59D336C4"/>
    <w:rsid w:val="5A18014C"/>
    <w:rsid w:val="5A1924BD"/>
    <w:rsid w:val="5A276988"/>
    <w:rsid w:val="5A2A3236"/>
    <w:rsid w:val="5A387224"/>
    <w:rsid w:val="5A3930F9"/>
    <w:rsid w:val="5A546E90"/>
    <w:rsid w:val="5A5D24FB"/>
    <w:rsid w:val="5A64198B"/>
    <w:rsid w:val="5A6F205F"/>
    <w:rsid w:val="5A8A765A"/>
    <w:rsid w:val="5AA80B76"/>
    <w:rsid w:val="5AC51D38"/>
    <w:rsid w:val="5AD703AE"/>
    <w:rsid w:val="5ADA5D82"/>
    <w:rsid w:val="5B162FDD"/>
    <w:rsid w:val="5B1D015E"/>
    <w:rsid w:val="5B21340D"/>
    <w:rsid w:val="5B345801"/>
    <w:rsid w:val="5B3550D5"/>
    <w:rsid w:val="5B5419FF"/>
    <w:rsid w:val="5B5B4D24"/>
    <w:rsid w:val="5B5E4C14"/>
    <w:rsid w:val="5B647B21"/>
    <w:rsid w:val="5B6A7B7A"/>
    <w:rsid w:val="5B8B2F47"/>
    <w:rsid w:val="5B8C73EB"/>
    <w:rsid w:val="5BB1081F"/>
    <w:rsid w:val="5BB10BFF"/>
    <w:rsid w:val="5BB61CDC"/>
    <w:rsid w:val="5BC55BCA"/>
    <w:rsid w:val="5BDA6F0A"/>
    <w:rsid w:val="5BDD74C5"/>
    <w:rsid w:val="5BE455C7"/>
    <w:rsid w:val="5BE7521A"/>
    <w:rsid w:val="5C1967A5"/>
    <w:rsid w:val="5C1B33CE"/>
    <w:rsid w:val="5C363B60"/>
    <w:rsid w:val="5C36718D"/>
    <w:rsid w:val="5C4F5F31"/>
    <w:rsid w:val="5C6B2D59"/>
    <w:rsid w:val="5C6D3017"/>
    <w:rsid w:val="5C790441"/>
    <w:rsid w:val="5C7B2FBB"/>
    <w:rsid w:val="5C8251C6"/>
    <w:rsid w:val="5C8400C2"/>
    <w:rsid w:val="5C961A92"/>
    <w:rsid w:val="5CB33E7D"/>
    <w:rsid w:val="5CB927EA"/>
    <w:rsid w:val="5CD9620B"/>
    <w:rsid w:val="5CF13C39"/>
    <w:rsid w:val="5CF54163"/>
    <w:rsid w:val="5CFE7ACF"/>
    <w:rsid w:val="5D046F58"/>
    <w:rsid w:val="5D160AAC"/>
    <w:rsid w:val="5D386D50"/>
    <w:rsid w:val="5D3F223B"/>
    <w:rsid w:val="5D4810F0"/>
    <w:rsid w:val="5D4D0E08"/>
    <w:rsid w:val="5D541157"/>
    <w:rsid w:val="5D796F08"/>
    <w:rsid w:val="5D977EAC"/>
    <w:rsid w:val="5DB26E94"/>
    <w:rsid w:val="5DB80A0E"/>
    <w:rsid w:val="5DC05617"/>
    <w:rsid w:val="5DD02AD6"/>
    <w:rsid w:val="5DDF6561"/>
    <w:rsid w:val="5DE61EBF"/>
    <w:rsid w:val="5DF23751"/>
    <w:rsid w:val="5E024645"/>
    <w:rsid w:val="5E2561F1"/>
    <w:rsid w:val="5E4E1E2C"/>
    <w:rsid w:val="5E68201D"/>
    <w:rsid w:val="5E9503BF"/>
    <w:rsid w:val="5E964D1E"/>
    <w:rsid w:val="5EAF0D83"/>
    <w:rsid w:val="5EB6050D"/>
    <w:rsid w:val="5EC529C2"/>
    <w:rsid w:val="5ED62D21"/>
    <w:rsid w:val="5EDD61AF"/>
    <w:rsid w:val="5EE56057"/>
    <w:rsid w:val="5EEF3858"/>
    <w:rsid w:val="5F0318FF"/>
    <w:rsid w:val="5F063FC9"/>
    <w:rsid w:val="5F0C439F"/>
    <w:rsid w:val="5F226EEC"/>
    <w:rsid w:val="5F4B7811"/>
    <w:rsid w:val="5F5234E4"/>
    <w:rsid w:val="5F6D308F"/>
    <w:rsid w:val="5F7F369D"/>
    <w:rsid w:val="5F9C1BC7"/>
    <w:rsid w:val="5FA50C8F"/>
    <w:rsid w:val="5FB011CE"/>
    <w:rsid w:val="5FB66181"/>
    <w:rsid w:val="5FCF3D4A"/>
    <w:rsid w:val="5FE573F6"/>
    <w:rsid w:val="5FEE4BE2"/>
    <w:rsid w:val="5FEF1BF7"/>
    <w:rsid w:val="60011A2A"/>
    <w:rsid w:val="60083A9B"/>
    <w:rsid w:val="600F4681"/>
    <w:rsid w:val="60163727"/>
    <w:rsid w:val="60165FF1"/>
    <w:rsid w:val="601E25DC"/>
    <w:rsid w:val="6028345A"/>
    <w:rsid w:val="603B4F3C"/>
    <w:rsid w:val="604C0EF7"/>
    <w:rsid w:val="604F4CCA"/>
    <w:rsid w:val="605E6E7C"/>
    <w:rsid w:val="606F2E37"/>
    <w:rsid w:val="60806DF2"/>
    <w:rsid w:val="6093447C"/>
    <w:rsid w:val="60997EB4"/>
    <w:rsid w:val="60A56859"/>
    <w:rsid w:val="60BE4E95"/>
    <w:rsid w:val="60DB4B3B"/>
    <w:rsid w:val="60F6605A"/>
    <w:rsid w:val="60FE7241"/>
    <w:rsid w:val="6107392C"/>
    <w:rsid w:val="610A6B0D"/>
    <w:rsid w:val="61112140"/>
    <w:rsid w:val="61300818"/>
    <w:rsid w:val="613D2F35"/>
    <w:rsid w:val="614C4EFF"/>
    <w:rsid w:val="61671FBA"/>
    <w:rsid w:val="616F37D4"/>
    <w:rsid w:val="61700C15"/>
    <w:rsid w:val="61926DDD"/>
    <w:rsid w:val="619F5BD4"/>
    <w:rsid w:val="61B06987"/>
    <w:rsid w:val="61D251B9"/>
    <w:rsid w:val="61D74A12"/>
    <w:rsid w:val="61D94A0C"/>
    <w:rsid w:val="61E909C7"/>
    <w:rsid w:val="61F96E5C"/>
    <w:rsid w:val="62057E78"/>
    <w:rsid w:val="620A4B83"/>
    <w:rsid w:val="62126170"/>
    <w:rsid w:val="622B0FE0"/>
    <w:rsid w:val="62382EC3"/>
    <w:rsid w:val="623A5B3A"/>
    <w:rsid w:val="624448F1"/>
    <w:rsid w:val="62465D15"/>
    <w:rsid w:val="625B4533"/>
    <w:rsid w:val="625B65A0"/>
    <w:rsid w:val="62603EAE"/>
    <w:rsid w:val="62665463"/>
    <w:rsid w:val="62765B07"/>
    <w:rsid w:val="62774225"/>
    <w:rsid w:val="6287090C"/>
    <w:rsid w:val="6299063F"/>
    <w:rsid w:val="62A70B3A"/>
    <w:rsid w:val="62DE3973"/>
    <w:rsid w:val="62EB3A5A"/>
    <w:rsid w:val="62EE124E"/>
    <w:rsid w:val="63045C21"/>
    <w:rsid w:val="63166DD3"/>
    <w:rsid w:val="631F0B45"/>
    <w:rsid w:val="63510A38"/>
    <w:rsid w:val="63627B32"/>
    <w:rsid w:val="63692F24"/>
    <w:rsid w:val="638938A2"/>
    <w:rsid w:val="63992F3D"/>
    <w:rsid w:val="63A04B38"/>
    <w:rsid w:val="63A3004B"/>
    <w:rsid w:val="63A54F9A"/>
    <w:rsid w:val="63BB2FBB"/>
    <w:rsid w:val="63C53DD7"/>
    <w:rsid w:val="63D80CF3"/>
    <w:rsid w:val="63D866E8"/>
    <w:rsid w:val="63DE4DFD"/>
    <w:rsid w:val="63E55347"/>
    <w:rsid w:val="63E638BD"/>
    <w:rsid w:val="63EF5C43"/>
    <w:rsid w:val="63EF7AD2"/>
    <w:rsid w:val="63F06720"/>
    <w:rsid w:val="63F518A5"/>
    <w:rsid w:val="64103DA1"/>
    <w:rsid w:val="6429647B"/>
    <w:rsid w:val="64321B1C"/>
    <w:rsid w:val="64373C6C"/>
    <w:rsid w:val="64631F02"/>
    <w:rsid w:val="64983BE9"/>
    <w:rsid w:val="64A137DB"/>
    <w:rsid w:val="64E35BA2"/>
    <w:rsid w:val="64EA68D9"/>
    <w:rsid w:val="64F52D8D"/>
    <w:rsid w:val="652F0DE7"/>
    <w:rsid w:val="655068C5"/>
    <w:rsid w:val="65591E05"/>
    <w:rsid w:val="65615E7B"/>
    <w:rsid w:val="65763CEB"/>
    <w:rsid w:val="65845F1F"/>
    <w:rsid w:val="65940562"/>
    <w:rsid w:val="659B28B6"/>
    <w:rsid w:val="65A25A5D"/>
    <w:rsid w:val="65B65064"/>
    <w:rsid w:val="65C71241"/>
    <w:rsid w:val="65CC4888"/>
    <w:rsid w:val="65D031BE"/>
    <w:rsid w:val="65D379C4"/>
    <w:rsid w:val="65DE030D"/>
    <w:rsid w:val="65EF15EA"/>
    <w:rsid w:val="66033642"/>
    <w:rsid w:val="660C5D19"/>
    <w:rsid w:val="66344907"/>
    <w:rsid w:val="663568D1"/>
    <w:rsid w:val="663B7CA5"/>
    <w:rsid w:val="663C2B49"/>
    <w:rsid w:val="663F0DCC"/>
    <w:rsid w:val="66442670"/>
    <w:rsid w:val="664B39FF"/>
    <w:rsid w:val="664F1741"/>
    <w:rsid w:val="665F2936"/>
    <w:rsid w:val="666265B8"/>
    <w:rsid w:val="66680A54"/>
    <w:rsid w:val="6668688B"/>
    <w:rsid w:val="666B20A5"/>
    <w:rsid w:val="667A623B"/>
    <w:rsid w:val="667D6901"/>
    <w:rsid w:val="669B0B75"/>
    <w:rsid w:val="669D5A52"/>
    <w:rsid w:val="66AE46D2"/>
    <w:rsid w:val="66C33EDD"/>
    <w:rsid w:val="66E4227D"/>
    <w:rsid w:val="66F52880"/>
    <w:rsid w:val="66F71181"/>
    <w:rsid w:val="66FB5032"/>
    <w:rsid w:val="66FE6CC3"/>
    <w:rsid w:val="67006EDF"/>
    <w:rsid w:val="67095D94"/>
    <w:rsid w:val="670E33AA"/>
    <w:rsid w:val="67177D85"/>
    <w:rsid w:val="671A24EC"/>
    <w:rsid w:val="6757392B"/>
    <w:rsid w:val="678A4ED6"/>
    <w:rsid w:val="679338AF"/>
    <w:rsid w:val="67980EC5"/>
    <w:rsid w:val="67BB08C1"/>
    <w:rsid w:val="67DA10AA"/>
    <w:rsid w:val="67F34FF7"/>
    <w:rsid w:val="67FB0246"/>
    <w:rsid w:val="67FB0A92"/>
    <w:rsid w:val="68082BC7"/>
    <w:rsid w:val="6809591F"/>
    <w:rsid w:val="68234348"/>
    <w:rsid w:val="682C6D07"/>
    <w:rsid w:val="683A01CF"/>
    <w:rsid w:val="683B395D"/>
    <w:rsid w:val="68490412"/>
    <w:rsid w:val="685F1F4E"/>
    <w:rsid w:val="687A55C6"/>
    <w:rsid w:val="687E455F"/>
    <w:rsid w:val="68A7502D"/>
    <w:rsid w:val="68B24209"/>
    <w:rsid w:val="68C33D20"/>
    <w:rsid w:val="68C55DFB"/>
    <w:rsid w:val="68D423D1"/>
    <w:rsid w:val="68E470A8"/>
    <w:rsid w:val="68E819D9"/>
    <w:rsid w:val="68FB4AE5"/>
    <w:rsid w:val="68FE1C40"/>
    <w:rsid w:val="69035A27"/>
    <w:rsid w:val="690C1B6B"/>
    <w:rsid w:val="692916EB"/>
    <w:rsid w:val="6932297C"/>
    <w:rsid w:val="693C3AD3"/>
    <w:rsid w:val="69617209"/>
    <w:rsid w:val="698E2580"/>
    <w:rsid w:val="698E4911"/>
    <w:rsid w:val="698F3680"/>
    <w:rsid w:val="6993276B"/>
    <w:rsid w:val="69A806EF"/>
    <w:rsid w:val="69BD637C"/>
    <w:rsid w:val="69CD14B6"/>
    <w:rsid w:val="69D27AF5"/>
    <w:rsid w:val="69D45077"/>
    <w:rsid w:val="69DD69A5"/>
    <w:rsid w:val="69E44896"/>
    <w:rsid w:val="69EF1D7E"/>
    <w:rsid w:val="69F148BD"/>
    <w:rsid w:val="69F17170"/>
    <w:rsid w:val="69F96AD9"/>
    <w:rsid w:val="69FA10B6"/>
    <w:rsid w:val="6A0E7F88"/>
    <w:rsid w:val="6A22716C"/>
    <w:rsid w:val="6A3271A6"/>
    <w:rsid w:val="6A38073E"/>
    <w:rsid w:val="6A515545"/>
    <w:rsid w:val="6A5246AD"/>
    <w:rsid w:val="6A5437CA"/>
    <w:rsid w:val="6A661319"/>
    <w:rsid w:val="6A6F027D"/>
    <w:rsid w:val="6A78665E"/>
    <w:rsid w:val="6A7E25F5"/>
    <w:rsid w:val="6AB22341"/>
    <w:rsid w:val="6AD704FE"/>
    <w:rsid w:val="6AEA6B9E"/>
    <w:rsid w:val="6B046B2A"/>
    <w:rsid w:val="6B0F5943"/>
    <w:rsid w:val="6B107ADC"/>
    <w:rsid w:val="6B1A4AE4"/>
    <w:rsid w:val="6B1B6FE7"/>
    <w:rsid w:val="6B4C091F"/>
    <w:rsid w:val="6B4C7DA3"/>
    <w:rsid w:val="6B5B2936"/>
    <w:rsid w:val="6B5E5F82"/>
    <w:rsid w:val="6B6D5964"/>
    <w:rsid w:val="6B7C512E"/>
    <w:rsid w:val="6B857ED4"/>
    <w:rsid w:val="6BA01D5F"/>
    <w:rsid w:val="6BA07844"/>
    <w:rsid w:val="6BAD751C"/>
    <w:rsid w:val="6BAF2E89"/>
    <w:rsid w:val="6BC03755"/>
    <w:rsid w:val="6BCF2EE1"/>
    <w:rsid w:val="6BD97E64"/>
    <w:rsid w:val="6BF7464D"/>
    <w:rsid w:val="6C02330E"/>
    <w:rsid w:val="6C0C1C2E"/>
    <w:rsid w:val="6C1A3EED"/>
    <w:rsid w:val="6C22436F"/>
    <w:rsid w:val="6C2643A7"/>
    <w:rsid w:val="6C3F4006"/>
    <w:rsid w:val="6C41576E"/>
    <w:rsid w:val="6C477007"/>
    <w:rsid w:val="6C4F75B6"/>
    <w:rsid w:val="6C5F5F60"/>
    <w:rsid w:val="6C6701BE"/>
    <w:rsid w:val="6C681E3D"/>
    <w:rsid w:val="6C753B51"/>
    <w:rsid w:val="6C8B6731"/>
    <w:rsid w:val="6C8F2174"/>
    <w:rsid w:val="6CB174AE"/>
    <w:rsid w:val="6CB40223"/>
    <w:rsid w:val="6CC12C6C"/>
    <w:rsid w:val="6CC16FED"/>
    <w:rsid w:val="6CC429D5"/>
    <w:rsid w:val="6CD209D6"/>
    <w:rsid w:val="6CD30049"/>
    <w:rsid w:val="6CE32C46"/>
    <w:rsid w:val="6CEB697F"/>
    <w:rsid w:val="6CF45859"/>
    <w:rsid w:val="6CFB3710"/>
    <w:rsid w:val="6CFB48E3"/>
    <w:rsid w:val="6D20450C"/>
    <w:rsid w:val="6D2158FE"/>
    <w:rsid w:val="6D2D3C78"/>
    <w:rsid w:val="6D3B19D1"/>
    <w:rsid w:val="6D6F091A"/>
    <w:rsid w:val="6D717582"/>
    <w:rsid w:val="6D82292A"/>
    <w:rsid w:val="6D8F68C7"/>
    <w:rsid w:val="6D9F6A54"/>
    <w:rsid w:val="6DB6785C"/>
    <w:rsid w:val="6DB7222A"/>
    <w:rsid w:val="6DBE53FE"/>
    <w:rsid w:val="6DC15011"/>
    <w:rsid w:val="6DF901E4"/>
    <w:rsid w:val="6DF96105"/>
    <w:rsid w:val="6DFA189B"/>
    <w:rsid w:val="6DFC0240"/>
    <w:rsid w:val="6E05302D"/>
    <w:rsid w:val="6E056B89"/>
    <w:rsid w:val="6E0F1942"/>
    <w:rsid w:val="6E1D39B2"/>
    <w:rsid w:val="6E3B1F0E"/>
    <w:rsid w:val="6E4C5427"/>
    <w:rsid w:val="6E515A07"/>
    <w:rsid w:val="6E5B69FB"/>
    <w:rsid w:val="6E634BB8"/>
    <w:rsid w:val="6E6C7053"/>
    <w:rsid w:val="6E6E472E"/>
    <w:rsid w:val="6EB8009F"/>
    <w:rsid w:val="6EC25C13"/>
    <w:rsid w:val="6EC56710"/>
    <w:rsid w:val="6EC82EAB"/>
    <w:rsid w:val="6EC84F2F"/>
    <w:rsid w:val="6ED54F57"/>
    <w:rsid w:val="6EF32E85"/>
    <w:rsid w:val="6EF54B48"/>
    <w:rsid w:val="6EF90E63"/>
    <w:rsid w:val="6F165409"/>
    <w:rsid w:val="6F1B67B5"/>
    <w:rsid w:val="6F277AAE"/>
    <w:rsid w:val="6F2E3B07"/>
    <w:rsid w:val="6F38599F"/>
    <w:rsid w:val="6F3E67F6"/>
    <w:rsid w:val="6F5558EE"/>
    <w:rsid w:val="6F5D5743"/>
    <w:rsid w:val="6F604F44"/>
    <w:rsid w:val="6F8B1AA2"/>
    <w:rsid w:val="6F8C57B4"/>
    <w:rsid w:val="6F8D6E36"/>
    <w:rsid w:val="6FB16BCC"/>
    <w:rsid w:val="6FB20D98"/>
    <w:rsid w:val="6FB84A9F"/>
    <w:rsid w:val="6FFF04A0"/>
    <w:rsid w:val="70153A5A"/>
    <w:rsid w:val="701A4703"/>
    <w:rsid w:val="703F2826"/>
    <w:rsid w:val="706358BE"/>
    <w:rsid w:val="7073427E"/>
    <w:rsid w:val="707A1AB0"/>
    <w:rsid w:val="708611C2"/>
    <w:rsid w:val="70BC3E77"/>
    <w:rsid w:val="70C525FF"/>
    <w:rsid w:val="70D5046D"/>
    <w:rsid w:val="70EE7D53"/>
    <w:rsid w:val="70F34365"/>
    <w:rsid w:val="70F43E4A"/>
    <w:rsid w:val="70F96386"/>
    <w:rsid w:val="70FD1A16"/>
    <w:rsid w:val="70FE7B84"/>
    <w:rsid w:val="71061911"/>
    <w:rsid w:val="710A37F7"/>
    <w:rsid w:val="712B4B58"/>
    <w:rsid w:val="7149434A"/>
    <w:rsid w:val="716F0EE9"/>
    <w:rsid w:val="71880C5D"/>
    <w:rsid w:val="718D31B7"/>
    <w:rsid w:val="719E2478"/>
    <w:rsid w:val="719F39D7"/>
    <w:rsid w:val="71A215A9"/>
    <w:rsid w:val="71BC2619"/>
    <w:rsid w:val="71C11867"/>
    <w:rsid w:val="71C61478"/>
    <w:rsid w:val="71C942C6"/>
    <w:rsid w:val="71CF70C0"/>
    <w:rsid w:val="71E06A6D"/>
    <w:rsid w:val="71EA67C2"/>
    <w:rsid w:val="71F8229B"/>
    <w:rsid w:val="72247F25"/>
    <w:rsid w:val="722E11C0"/>
    <w:rsid w:val="72441AC9"/>
    <w:rsid w:val="72477770"/>
    <w:rsid w:val="724D63AB"/>
    <w:rsid w:val="725143B9"/>
    <w:rsid w:val="72553A0C"/>
    <w:rsid w:val="727879B6"/>
    <w:rsid w:val="727E6352"/>
    <w:rsid w:val="72865FD7"/>
    <w:rsid w:val="729F135A"/>
    <w:rsid w:val="72A2360B"/>
    <w:rsid w:val="72C708B1"/>
    <w:rsid w:val="72D51220"/>
    <w:rsid w:val="72DD43BE"/>
    <w:rsid w:val="72E476B5"/>
    <w:rsid w:val="72E70F53"/>
    <w:rsid w:val="72E76216"/>
    <w:rsid w:val="72E913C0"/>
    <w:rsid w:val="72ED0919"/>
    <w:rsid w:val="72F959E1"/>
    <w:rsid w:val="73031FC5"/>
    <w:rsid w:val="732771C8"/>
    <w:rsid w:val="732857F3"/>
    <w:rsid w:val="732A6769"/>
    <w:rsid w:val="732E60FE"/>
    <w:rsid w:val="73317C2B"/>
    <w:rsid w:val="73331EF0"/>
    <w:rsid w:val="733E4C72"/>
    <w:rsid w:val="73426E85"/>
    <w:rsid w:val="7367134F"/>
    <w:rsid w:val="736B09BB"/>
    <w:rsid w:val="737C12EE"/>
    <w:rsid w:val="738B58EE"/>
    <w:rsid w:val="73914645"/>
    <w:rsid w:val="739553D7"/>
    <w:rsid w:val="73B27FBA"/>
    <w:rsid w:val="73C6500C"/>
    <w:rsid w:val="73CA68AB"/>
    <w:rsid w:val="73D057D2"/>
    <w:rsid w:val="73E545A2"/>
    <w:rsid w:val="73E67988"/>
    <w:rsid w:val="73EF21BC"/>
    <w:rsid w:val="74033BE6"/>
    <w:rsid w:val="74072344"/>
    <w:rsid w:val="742064CB"/>
    <w:rsid w:val="74220D3C"/>
    <w:rsid w:val="742B04A4"/>
    <w:rsid w:val="74463A57"/>
    <w:rsid w:val="744B45C1"/>
    <w:rsid w:val="744D4DE6"/>
    <w:rsid w:val="744F43E5"/>
    <w:rsid w:val="744F5B70"/>
    <w:rsid w:val="7485226D"/>
    <w:rsid w:val="749C697C"/>
    <w:rsid w:val="749D7B1B"/>
    <w:rsid w:val="74AC2947"/>
    <w:rsid w:val="74AF5AA0"/>
    <w:rsid w:val="74C62534"/>
    <w:rsid w:val="74F2511E"/>
    <w:rsid w:val="74F91D24"/>
    <w:rsid w:val="750E6BA9"/>
    <w:rsid w:val="75134281"/>
    <w:rsid w:val="751678CE"/>
    <w:rsid w:val="75172572"/>
    <w:rsid w:val="75234AF2"/>
    <w:rsid w:val="752C103C"/>
    <w:rsid w:val="75357D54"/>
    <w:rsid w:val="753B1248"/>
    <w:rsid w:val="754E126D"/>
    <w:rsid w:val="754F5DE1"/>
    <w:rsid w:val="75575F1C"/>
    <w:rsid w:val="75831D21"/>
    <w:rsid w:val="758C37C4"/>
    <w:rsid w:val="75982C83"/>
    <w:rsid w:val="759E1D9D"/>
    <w:rsid w:val="75A25FEF"/>
    <w:rsid w:val="75AB6268"/>
    <w:rsid w:val="75AE7B06"/>
    <w:rsid w:val="75B7239E"/>
    <w:rsid w:val="75C3169F"/>
    <w:rsid w:val="75CE5EA1"/>
    <w:rsid w:val="75FB3E47"/>
    <w:rsid w:val="760D0A06"/>
    <w:rsid w:val="760F4A49"/>
    <w:rsid w:val="761C0F14"/>
    <w:rsid w:val="762762CD"/>
    <w:rsid w:val="763A1535"/>
    <w:rsid w:val="765E70DC"/>
    <w:rsid w:val="76625752"/>
    <w:rsid w:val="76644C43"/>
    <w:rsid w:val="766C01D4"/>
    <w:rsid w:val="766D0AD7"/>
    <w:rsid w:val="767B20DE"/>
    <w:rsid w:val="769919FA"/>
    <w:rsid w:val="76996A64"/>
    <w:rsid w:val="769B452E"/>
    <w:rsid w:val="769E5DCD"/>
    <w:rsid w:val="76AE6010"/>
    <w:rsid w:val="76BB5304"/>
    <w:rsid w:val="76BE2A1F"/>
    <w:rsid w:val="76D04E65"/>
    <w:rsid w:val="76D238D0"/>
    <w:rsid w:val="76DF08BF"/>
    <w:rsid w:val="76EF6604"/>
    <w:rsid w:val="7703214E"/>
    <w:rsid w:val="770A4DBF"/>
    <w:rsid w:val="772938E8"/>
    <w:rsid w:val="77337706"/>
    <w:rsid w:val="773521BD"/>
    <w:rsid w:val="77423E1E"/>
    <w:rsid w:val="774E68B0"/>
    <w:rsid w:val="77591706"/>
    <w:rsid w:val="776963DA"/>
    <w:rsid w:val="77753D8F"/>
    <w:rsid w:val="77785EA7"/>
    <w:rsid w:val="779E031E"/>
    <w:rsid w:val="77A411C1"/>
    <w:rsid w:val="77B63DB5"/>
    <w:rsid w:val="77C73D4B"/>
    <w:rsid w:val="77CE7200"/>
    <w:rsid w:val="77E24DCB"/>
    <w:rsid w:val="77F35CA4"/>
    <w:rsid w:val="78090150"/>
    <w:rsid w:val="78132251"/>
    <w:rsid w:val="781520BE"/>
    <w:rsid w:val="781A0DA5"/>
    <w:rsid w:val="7826607A"/>
    <w:rsid w:val="78281DF2"/>
    <w:rsid w:val="782C7B94"/>
    <w:rsid w:val="782D4318"/>
    <w:rsid w:val="78306EF8"/>
    <w:rsid w:val="784B3677"/>
    <w:rsid w:val="785231D0"/>
    <w:rsid w:val="78737930"/>
    <w:rsid w:val="789D4139"/>
    <w:rsid w:val="78BA6329"/>
    <w:rsid w:val="78BC200F"/>
    <w:rsid w:val="78BE2756"/>
    <w:rsid w:val="78D45DD0"/>
    <w:rsid w:val="78DB550B"/>
    <w:rsid w:val="78E21CFE"/>
    <w:rsid w:val="78EC464B"/>
    <w:rsid w:val="78F76A3D"/>
    <w:rsid w:val="78FE4234"/>
    <w:rsid w:val="792E51E6"/>
    <w:rsid w:val="79385DD5"/>
    <w:rsid w:val="79396336"/>
    <w:rsid w:val="7945357D"/>
    <w:rsid w:val="794559D8"/>
    <w:rsid w:val="795409C4"/>
    <w:rsid w:val="79570BE0"/>
    <w:rsid w:val="795F37FA"/>
    <w:rsid w:val="798F6D86"/>
    <w:rsid w:val="79911640"/>
    <w:rsid w:val="79A47B9E"/>
    <w:rsid w:val="79A9134B"/>
    <w:rsid w:val="79A9354F"/>
    <w:rsid w:val="79BA4CCB"/>
    <w:rsid w:val="79C14D50"/>
    <w:rsid w:val="79CE500B"/>
    <w:rsid w:val="79D20FEE"/>
    <w:rsid w:val="79E75577"/>
    <w:rsid w:val="79FC1788"/>
    <w:rsid w:val="7A0128FA"/>
    <w:rsid w:val="7A061274"/>
    <w:rsid w:val="7A0917AF"/>
    <w:rsid w:val="7A162166"/>
    <w:rsid w:val="7A1C2BC0"/>
    <w:rsid w:val="7A283CB1"/>
    <w:rsid w:val="7A344A7F"/>
    <w:rsid w:val="7A374CE3"/>
    <w:rsid w:val="7A595D16"/>
    <w:rsid w:val="7A621EC5"/>
    <w:rsid w:val="7A682979"/>
    <w:rsid w:val="7A772BBC"/>
    <w:rsid w:val="7A8467D6"/>
    <w:rsid w:val="7A984CF8"/>
    <w:rsid w:val="7AA337CF"/>
    <w:rsid w:val="7AAD5F02"/>
    <w:rsid w:val="7AAD7226"/>
    <w:rsid w:val="7ABB519F"/>
    <w:rsid w:val="7ABE6A3D"/>
    <w:rsid w:val="7AC54380"/>
    <w:rsid w:val="7AC6689E"/>
    <w:rsid w:val="7AD02E36"/>
    <w:rsid w:val="7AD50F5F"/>
    <w:rsid w:val="7AD93877"/>
    <w:rsid w:val="7ADD1BA5"/>
    <w:rsid w:val="7AF4245F"/>
    <w:rsid w:val="7B0C1557"/>
    <w:rsid w:val="7B131D54"/>
    <w:rsid w:val="7B1B3E90"/>
    <w:rsid w:val="7B205002"/>
    <w:rsid w:val="7B220D7A"/>
    <w:rsid w:val="7B222136"/>
    <w:rsid w:val="7B281214"/>
    <w:rsid w:val="7B333805"/>
    <w:rsid w:val="7B4A1591"/>
    <w:rsid w:val="7B5F45E2"/>
    <w:rsid w:val="7B615D46"/>
    <w:rsid w:val="7B7268A6"/>
    <w:rsid w:val="7B897830"/>
    <w:rsid w:val="7B9D1C2F"/>
    <w:rsid w:val="7B9E3D0D"/>
    <w:rsid w:val="7BA2010D"/>
    <w:rsid w:val="7BAB5214"/>
    <w:rsid w:val="7BAF41F7"/>
    <w:rsid w:val="7BB5399C"/>
    <w:rsid w:val="7BBA0FB3"/>
    <w:rsid w:val="7BBC1C9A"/>
    <w:rsid w:val="7BC167E5"/>
    <w:rsid w:val="7BD21935"/>
    <w:rsid w:val="7BE349AD"/>
    <w:rsid w:val="7C0447BD"/>
    <w:rsid w:val="7C0E12FE"/>
    <w:rsid w:val="7C2154D6"/>
    <w:rsid w:val="7C236CE5"/>
    <w:rsid w:val="7C310CB0"/>
    <w:rsid w:val="7C3D08BA"/>
    <w:rsid w:val="7C4B4301"/>
    <w:rsid w:val="7C532BE5"/>
    <w:rsid w:val="7C661910"/>
    <w:rsid w:val="7C8415C1"/>
    <w:rsid w:val="7C8E41ED"/>
    <w:rsid w:val="7C913D1A"/>
    <w:rsid w:val="7C935F3C"/>
    <w:rsid w:val="7C936D38"/>
    <w:rsid w:val="7C977F10"/>
    <w:rsid w:val="7CC55AE2"/>
    <w:rsid w:val="7CC8486F"/>
    <w:rsid w:val="7CD567A1"/>
    <w:rsid w:val="7CD7575D"/>
    <w:rsid w:val="7CE12711"/>
    <w:rsid w:val="7CE50938"/>
    <w:rsid w:val="7CED7166"/>
    <w:rsid w:val="7D0179D1"/>
    <w:rsid w:val="7D025236"/>
    <w:rsid w:val="7D2E7EAA"/>
    <w:rsid w:val="7D3E71EA"/>
    <w:rsid w:val="7D411A44"/>
    <w:rsid w:val="7D4A6006"/>
    <w:rsid w:val="7D4B7628"/>
    <w:rsid w:val="7D551348"/>
    <w:rsid w:val="7D690EE2"/>
    <w:rsid w:val="7D6A7876"/>
    <w:rsid w:val="7D6E64F9"/>
    <w:rsid w:val="7D8B26DC"/>
    <w:rsid w:val="7D8E26F7"/>
    <w:rsid w:val="7D910EF3"/>
    <w:rsid w:val="7D9A2A39"/>
    <w:rsid w:val="7DA243F4"/>
    <w:rsid w:val="7DAB4C6B"/>
    <w:rsid w:val="7DCD00FC"/>
    <w:rsid w:val="7DD20A36"/>
    <w:rsid w:val="7DD7431B"/>
    <w:rsid w:val="7DEB652E"/>
    <w:rsid w:val="7E025A91"/>
    <w:rsid w:val="7E1C1010"/>
    <w:rsid w:val="7E256664"/>
    <w:rsid w:val="7E272D9B"/>
    <w:rsid w:val="7E357016"/>
    <w:rsid w:val="7E3E094E"/>
    <w:rsid w:val="7E461224"/>
    <w:rsid w:val="7E5B6E67"/>
    <w:rsid w:val="7E6800AC"/>
    <w:rsid w:val="7EB7465B"/>
    <w:rsid w:val="7EC07C5D"/>
    <w:rsid w:val="7EC11C74"/>
    <w:rsid w:val="7ED43B4B"/>
    <w:rsid w:val="7EE41755"/>
    <w:rsid w:val="7EE90C95"/>
    <w:rsid w:val="7F0013D2"/>
    <w:rsid w:val="7F0C5D61"/>
    <w:rsid w:val="7F1442C0"/>
    <w:rsid w:val="7F211C5D"/>
    <w:rsid w:val="7F3F4FAE"/>
    <w:rsid w:val="7F41760E"/>
    <w:rsid w:val="7F423F91"/>
    <w:rsid w:val="7F440DA2"/>
    <w:rsid w:val="7F4F5993"/>
    <w:rsid w:val="7F5573E1"/>
    <w:rsid w:val="7F5E434B"/>
    <w:rsid w:val="7F8D69DE"/>
    <w:rsid w:val="7F9369F0"/>
    <w:rsid w:val="7F9D775B"/>
    <w:rsid w:val="7FA404BA"/>
    <w:rsid w:val="7FA77AA0"/>
    <w:rsid w:val="7FC73F4A"/>
    <w:rsid w:val="7FCF5B15"/>
    <w:rsid w:val="7FF64D1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27"/>
    <w:qFormat/>
    <w:uiPriority w:val="0"/>
    <w:pPr>
      <w:keepNext/>
      <w:keepLines/>
      <w:spacing w:line="576" w:lineRule="auto"/>
      <w:outlineLvl w:val="0"/>
    </w:pPr>
    <w:rPr>
      <w:b/>
      <w:kern w:val="44"/>
      <w:sz w:val="44"/>
    </w:rPr>
  </w:style>
  <w:style w:type="paragraph" w:styleId="4">
    <w:name w:val="heading 2"/>
    <w:basedOn w:val="1"/>
    <w:next w:val="1"/>
    <w:link w:val="29"/>
    <w:unhideWhenUsed/>
    <w:qFormat/>
    <w:uiPriority w:val="0"/>
    <w:pPr>
      <w:keepNext/>
      <w:keepLines/>
      <w:spacing w:line="413" w:lineRule="auto"/>
      <w:outlineLvl w:val="1"/>
    </w:pPr>
    <w:rPr>
      <w:rFonts w:ascii="Arial" w:hAnsi="Arial" w:eastAsia="黑体"/>
      <w:b/>
      <w:sz w:val="32"/>
    </w:rPr>
  </w:style>
  <w:style w:type="paragraph" w:styleId="5">
    <w:name w:val="heading 3"/>
    <w:basedOn w:val="1"/>
    <w:next w:val="1"/>
    <w:unhideWhenUsed/>
    <w:qFormat/>
    <w:uiPriority w:val="0"/>
    <w:pPr>
      <w:keepNext/>
      <w:keepLines/>
      <w:numPr>
        <w:ilvl w:val="2"/>
        <w:numId w:val="1"/>
      </w:numPr>
      <w:spacing w:line="413" w:lineRule="auto"/>
      <w:outlineLvl w:val="2"/>
    </w:pPr>
    <w:rPr>
      <w:b/>
      <w:sz w:val="32"/>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pPr>
      <w:spacing w:after="120"/>
    </w:pPr>
    <w:rPr>
      <w:rFonts w:ascii="Times New Roman" w:hAnsi="Times New Roman" w:eastAsia="宋体" w:cs="Times New Roman"/>
    </w:rPr>
  </w:style>
  <w:style w:type="paragraph" w:styleId="6">
    <w:name w:val="Normal Indent"/>
    <w:basedOn w:val="1"/>
    <w:next w:val="1"/>
    <w:qFormat/>
    <w:uiPriority w:val="0"/>
    <w:pPr>
      <w:ind w:firstLine="420" w:firstLineChars="200"/>
    </w:pPr>
  </w:style>
  <w:style w:type="paragraph" w:styleId="7">
    <w:name w:val="Document Map"/>
    <w:basedOn w:val="1"/>
    <w:unhideWhenUsed/>
    <w:qFormat/>
    <w:uiPriority w:val="99"/>
    <w:rPr>
      <w:rFonts w:ascii="宋体" w:hAnsi="Times New Roman" w:eastAsia="宋体" w:cs="Times New Roman"/>
      <w:sz w:val="18"/>
      <w:szCs w:val="18"/>
    </w:rPr>
  </w:style>
  <w:style w:type="paragraph" w:styleId="8">
    <w:name w:val="Body Text Indent"/>
    <w:basedOn w:val="1"/>
    <w:qFormat/>
    <w:uiPriority w:val="0"/>
    <w:pPr>
      <w:ind w:firstLine="200" w:firstLineChars="200"/>
      <w:jc w:val="left"/>
    </w:pPr>
    <w:rPr>
      <w:rFonts w:ascii="仿宋_GB2312" w:eastAsia="仿宋_GB2312"/>
      <w:sz w:val="28"/>
    </w:rPr>
  </w:style>
  <w:style w:type="paragraph" w:styleId="9">
    <w:name w:val="Block Text"/>
    <w:basedOn w:val="1"/>
    <w:qFormat/>
    <w:uiPriority w:val="0"/>
    <w:pPr>
      <w:widowControl/>
      <w:spacing w:after="120"/>
      <w:ind w:left="1440" w:leftChars="700" w:right="1440" w:rightChars="700"/>
      <w:jc w:val="left"/>
    </w:pPr>
    <w:rPr>
      <w:kern w:val="0"/>
      <w:sz w:val="20"/>
    </w:rPr>
  </w:style>
  <w:style w:type="paragraph" w:styleId="10">
    <w:name w:val="List Bullet 2"/>
    <w:basedOn w:val="1"/>
    <w:qFormat/>
    <w:uiPriority w:val="0"/>
    <w:pPr>
      <w:numPr>
        <w:ilvl w:val="0"/>
        <w:numId w:val="2"/>
      </w:numPr>
    </w:pPr>
  </w:style>
  <w:style w:type="paragraph" w:styleId="11">
    <w:name w:val="toc 3"/>
    <w:basedOn w:val="1"/>
    <w:next w:val="1"/>
    <w:qFormat/>
    <w:uiPriority w:val="0"/>
    <w:pPr>
      <w:ind w:left="840" w:leftChars="400"/>
    </w:pPr>
  </w:style>
  <w:style w:type="paragraph" w:styleId="12">
    <w:name w:val="Plain Text"/>
    <w:basedOn w:val="1"/>
    <w:qFormat/>
    <w:uiPriority w:val="0"/>
    <w:rPr>
      <w:rFonts w:ascii="宋体" w:hAnsi="Courier New"/>
    </w:rPr>
  </w:style>
  <w:style w:type="paragraph" w:styleId="13">
    <w:name w:val="footer"/>
    <w:basedOn w:val="1"/>
    <w:next w:val="1"/>
    <w:qFormat/>
    <w:uiPriority w:val="0"/>
    <w:pPr>
      <w:tabs>
        <w:tab w:val="center" w:pos="4153"/>
        <w:tab w:val="right" w:pos="8306"/>
      </w:tabs>
      <w:snapToGrid w:val="0"/>
      <w:jc w:val="left"/>
    </w:pPr>
    <w:rPr>
      <w:sz w:val="18"/>
    </w:rPr>
  </w:style>
  <w:style w:type="paragraph" w:styleId="1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qFormat/>
    <w:uiPriority w:val="0"/>
  </w:style>
  <w:style w:type="paragraph" w:styleId="16">
    <w:name w:val="toc 2"/>
    <w:basedOn w:val="1"/>
    <w:next w:val="1"/>
    <w:qFormat/>
    <w:uiPriority w:val="0"/>
    <w:pPr>
      <w:ind w:left="420" w:leftChars="200"/>
    </w:pPr>
  </w:style>
  <w:style w:type="paragraph" w:styleId="17">
    <w:name w:val="Body Text 2"/>
    <w:qFormat/>
    <w:uiPriority w:val="0"/>
    <w:pPr>
      <w:widowControl w:val="0"/>
      <w:spacing w:line="480" w:lineRule="auto"/>
      <w:jc w:val="both"/>
    </w:pPr>
    <w:rPr>
      <w:rFonts w:ascii="Times New Roman" w:hAnsi="Times New Roman" w:eastAsia="宋体" w:cs="Times New Roman"/>
      <w:kern w:val="2"/>
      <w:sz w:val="21"/>
      <w:szCs w:val="24"/>
      <w:lang w:val="en-US" w:eastAsia="zh-CN" w:bidi="ar-SA"/>
    </w:rPr>
  </w:style>
  <w:style w:type="paragraph" w:styleId="18">
    <w:name w:val="Normal (Web)"/>
    <w:basedOn w:val="1"/>
    <w:qFormat/>
    <w:uiPriority w:val="0"/>
    <w:pPr>
      <w:spacing w:beforeAutospacing="1" w:afterAutospacing="1"/>
      <w:jc w:val="left"/>
    </w:pPr>
    <w:rPr>
      <w:rFonts w:cs="Times New Roman"/>
      <w:kern w:val="0"/>
      <w:sz w:val="24"/>
    </w:rPr>
  </w:style>
  <w:style w:type="paragraph" w:styleId="19">
    <w:name w:val="index 1"/>
    <w:next w:val="1"/>
    <w:semiHidden/>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0">
    <w:name w:val="Title"/>
    <w:basedOn w:val="1"/>
    <w:next w:val="1"/>
    <w:qFormat/>
    <w:uiPriority w:val="10"/>
    <w:pPr>
      <w:spacing w:before="240" w:after="60"/>
      <w:jc w:val="center"/>
      <w:outlineLvl w:val="0"/>
    </w:pPr>
    <w:rPr>
      <w:rFonts w:ascii="Cambria" w:hAnsi="Cambria"/>
      <w:b/>
      <w:bCs/>
      <w:sz w:val="32"/>
      <w:szCs w:val="32"/>
    </w:rPr>
  </w:style>
  <w:style w:type="paragraph" w:styleId="21">
    <w:name w:val="Body Text First Indent 2"/>
    <w:basedOn w:val="8"/>
    <w:qFormat/>
    <w:uiPriority w:val="0"/>
    <w:pPr>
      <w:spacing w:line="360" w:lineRule="auto"/>
      <w:ind w:firstLine="420"/>
    </w:pPr>
    <w:rPr>
      <w:rFonts w:hAnsi="宋体"/>
    </w:rPr>
  </w:style>
  <w:style w:type="table" w:styleId="23">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25">
    <w:name w:val="Strong"/>
    <w:basedOn w:val="24"/>
    <w:qFormat/>
    <w:uiPriority w:val="0"/>
    <w:rPr>
      <w:b/>
    </w:rPr>
  </w:style>
  <w:style w:type="character" w:styleId="26">
    <w:name w:val="Hyperlink"/>
    <w:basedOn w:val="24"/>
    <w:qFormat/>
    <w:uiPriority w:val="0"/>
    <w:rPr>
      <w:color w:val="0000FF"/>
      <w:u w:val="single"/>
    </w:rPr>
  </w:style>
  <w:style w:type="character" w:customStyle="1" w:styleId="27">
    <w:name w:val="标题 1 Char"/>
    <w:link w:val="3"/>
    <w:qFormat/>
    <w:uiPriority w:val="0"/>
    <w:rPr>
      <w:b/>
      <w:kern w:val="44"/>
      <w:sz w:val="44"/>
    </w:rPr>
  </w:style>
  <w:style w:type="paragraph" w:customStyle="1" w:styleId="28">
    <w:name w:val="Default"/>
    <w:qFormat/>
    <w:uiPriority w:val="99"/>
    <w:pPr>
      <w:widowControl w:val="0"/>
      <w:autoSpaceDE w:val="0"/>
      <w:autoSpaceDN w:val="0"/>
      <w:adjustRightInd w:val="0"/>
    </w:pPr>
    <w:rPr>
      <w:rFonts w:ascii="Arial Unicode MS" w:hAnsi="Times New Roman" w:eastAsia="Arial Unicode MS" w:cs="Arial Unicode MS"/>
      <w:color w:val="000000"/>
      <w:sz w:val="24"/>
      <w:szCs w:val="24"/>
      <w:lang w:val="en-US" w:eastAsia="zh-CN" w:bidi="ar-SA"/>
    </w:rPr>
  </w:style>
  <w:style w:type="character" w:customStyle="1" w:styleId="29">
    <w:name w:val="标题 2 Char"/>
    <w:link w:val="4"/>
    <w:qFormat/>
    <w:uiPriority w:val="0"/>
    <w:rPr>
      <w:rFonts w:ascii="Arial" w:hAnsi="Arial" w:eastAsia="黑体"/>
      <w:b/>
      <w:sz w:val="32"/>
    </w:rPr>
  </w:style>
  <w:style w:type="paragraph" w:customStyle="1" w:styleId="30">
    <w:name w:val="Table Paragraph"/>
    <w:basedOn w:val="1"/>
    <w:qFormat/>
    <w:uiPriority w:val="1"/>
  </w:style>
  <w:style w:type="paragraph" w:customStyle="1" w:styleId="31">
    <w:name w:val="正文 A"/>
    <w:qFormat/>
    <w:uiPriority w:val="0"/>
    <w:pPr>
      <w:widowControl w:val="0"/>
      <w:jc w:val="both"/>
    </w:pPr>
    <w:rPr>
      <w:rFonts w:hint="eastAsia" w:ascii="Arial Unicode MS" w:hAnsi="Arial Unicode MS" w:eastAsia="Times New Roman" w:cs="Arial Unicode MS"/>
      <w:color w:val="000000"/>
      <w:kern w:val="2"/>
      <w:sz w:val="21"/>
      <w:szCs w:val="21"/>
      <w:u w:color="000000"/>
      <w:lang w:val="en-US" w:eastAsia="zh-CN" w:bidi="ar-SA"/>
    </w:rPr>
  </w:style>
  <w:style w:type="paragraph" w:styleId="32">
    <w:name w:val="List Paragraph"/>
    <w:basedOn w:val="1"/>
    <w:qFormat/>
    <w:uiPriority w:val="0"/>
    <w:pPr>
      <w:ind w:firstLine="420" w:firstLineChars="200"/>
    </w:pPr>
    <w:rPr>
      <w:rFonts w:ascii="Calibri" w:hAnsi="Calibri" w:eastAsia="宋体" w:cs="Times New Roman"/>
      <w:szCs w:val="22"/>
    </w:rPr>
  </w:style>
  <w:style w:type="paragraph" w:customStyle="1" w:styleId="33">
    <w:name w:val="正文1"/>
    <w:basedOn w:val="1"/>
    <w:next w:val="1"/>
    <w:qFormat/>
    <w:uiPriority w:val="0"/>
    <w:pPr>
      <w:spacing w:line="360" w:lineRule="auto"/>
      <w:ind w:firstLine="480" w:firstLineChars="200"/>
    </w:pPr>
    <w:rPr>
      <w:sz w:val="24"/>
    </w:rPr>
  </w:style>
  <w:style w:type="paragraph" w:customStyle="1" w:styleId="34">
    <w:name w:val="普通(网站) Char"/>
    <w:basedOn w:val="1"/>
    <w:qFormat/>
    <w:uiPriority w:val="0"/>
    <w:pPr>
      <w:widowControl/>
      <w:spacing w:before="100" w:beforeAutospacing="1" w:after="100" w:afterAutospacing="1"/>
      <w:jc w:val="left"/>
    </w:pPr>
    <w:rPr>
      <w:rFonts w:ascii="宋体" w:hAnsi="宋体" w:cs="宋体"/>
      <w:kern w:val="0"/>
      <w:sz w:val="24"/>
    </w:rPr>
  </w:style>
  <w:style w:type="character" w:customStyle="1" w:styleId="35">
    <w:name w:val="font01"/>
    <w:basedOn w:val="24"/>
    <w:qFormat/>
    <w:uiPriority w:val="0"/>
    <w:rPr>
      <w:rFonts w:ascii="Arial" w:hAnsi="Arial" w:cs="Arial"/>
      <w:color w:val="000000"/>
      <w:sz w:val="20"/>
      <w:szCs w:val="20"/>
      <w:u w:val="none"/>
    </w:rPr>
  </w:style>
  <w:style w:type="character" w:customStyle="1" w:styleId="36">
    <w:name w:val="font41"/>
    <w:basedOn w:val="24"/>
    <w:qFormat/>
    <w:uiPriority w:val="0"/>
    <w:rPr>
      <w:rFonts w:hint="eastAsia" w:ascii="微软雅黑" w:hAnsi="微软雅黑" w:eastAsia="微软雅黑" w:cs="微软雅黑"/>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31"/>
    <customShpInfo spid="_x0000_s1030"/>
    <customShpInfo spid="_x0000_s1029"/>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云南省政府办公厅</Company>
  <Pages>44</Pages>
  <Words>18017</Words>
  <Characters>18813</Characters>
  <Lines>164</Lines>
  <Paragraphs>46</Paragraphs>
  <TotalTime>1</TotalTime>
  <ScaleCrop>false</ScaleCrop>
  <LinksUpToDate>false</LinksUpToDate>
  <CharactersWithSpaces>20835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2022-09-02T07:51:00Z</dcterms:created>
  <dc:creator>一生</dc:creator>
  <cp:lastModifiedBy>75755</cp:lastModifiedBy>
  <cp:lastPrinted>2022-03-03T02:14:00Z</cp:lastPrinted>
  <dcterms:modified xsi:type="dcterms:W3CDTF">2023-01-08T02:53:36Z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41882DB0402444B0A64B2E7DEE6E6254</vt:lpwstr>
  </property>
  <property fmtid="{D5CDD505-2E9C-101B-9397-08002B2CF9AE}" pid="4" name="commondata">
    <vt:lpwstr>eyJoZGlkIjoiNGJmZDNhZGNmNzQ5NGUzMjIyOGNlNGVhMTVkNTRlMWEifQ==</vt:lpwstr>
  </property>
</Properties>
</file>